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B570E" w14:textId="77777777" w:rsidR="00CE7B4A" w:rsidRPr="00686BB7" w:rsidRDefault="00CE7B4A" w:rsidP="00CE7B4A">
      <w:pPr>
        <w:jc w:val="center"/>
        <w:rPr>
          <w:rFonts w:cs="Arial"/>
          <w:b/>
        </w:rPr>
      </w:pPr>
      <w:r w:rsidRPr="00686BB7">
        <w:rPr>
          <w:rFonts w:cs="Arial"/>
          <w:b/>
        </w:rPr>
        <w:t>IN THE SUPERIOR COURT OF THE STATE OF ARIZONA</w:t>
      </w:r>
    </w:p>
    <w:p w14:paraId="7037859B" w14:textId="77777777" w:rsidR="00CE7B4A" w:rsidRPr="00686BB7" w:rsidRDefault="00CE7B4A" w:rsidP="00CE7B4A">
      <w:pPr>
        <w:jc w:val="center"/>
        <w:rPr>
          <w:rFonts w:cs="Arial"/>
          <w:b/>
        </w:rPr>
      </w:pPr>
      <w:r w:rsidRPr="00686BB7">
        <w:rPr>
          <w:rFonts w:cs="Arial"/>
          <w:b/>
        </w:rPr>
        <w:t>IN AND FOR THE COUNTY OF &lt;County&gt;</w:t>
      </w:r>
    </w:p>
    <w:p w14:paraId="1D0D7D21" w14:textId="77777777" w:rsidR="00CE7B4A" w:rsidRPr="00686BB7" w:rsidRDefault="00CE7B4A" w:rsidP="00CE7B4A">
      <w:pPr>
        <w:rPr>
          <w:rFonts w:cs="Arial"/>
          <w:b/>
        </w:rPr>
      </w:pPr>
      <w:r w:rsidRPr="00686BB7">
        <w:rPr>
          <w:rFonts w:cs="Arial"/>
          <w:b/>
        </w:rPr>
        <w:t>Date:</w:t>
      </w:r>
    </w:p>
    <w:p w14:paraId="29860B2B" w14:textId="77777777" w:rsidR="00CE7B4A" w:rsidRPr="00686BB7" w:rsidRDefault="00CE7B4A" w:rsidP="00CE7B4A">
      <w:pPr>
        <w:rPr>
          <w:rFonts w:cs="Arial"/>
          <w:b/>
        </w:rPr>
      </w:pPr>
      <w:r w:rsidRPr="00686BB7">
        <w:rPr>
          <w:rFonts w:cs="Arial"/>
          <w:b/>
        </w:rPr>
        <w:t>Judicial Officer:</w:t>
      </w:r>
    </w:p>
    <w:p w14:paraId="16674298" w14:textId="77777777" w:rsidR="00CE7B4A" w:rsidRPr="00686BB7" w:rsidRDefault="00CE7B4A" w:rsidP="00CE7B4A">
      <w:pPr>
        <w:rPr>
          <w:rFonts w:cs="Arial"/>
          <w:b/>
        </w:rPr>
      </w:pPr>
      <w:r w:rsidRPr="00686BB7">
        <w:rPr>
          <w:rFonts w:cs="Arial"/>
          <w:b/>
        </w:rPr>
        <w:t>Deputy Clerk:</w:t>
      </w:r>
    </w:p>
    <w:p w14:paraId="1272901F" w14:textId="77777777" w:rsidR="00CE7B4A" w:rsidRDefault="00CE7B4A" w:rsidP="00CE7B4A">
      <w:pPr>
        <w:rPr>
          <w:rFonts w:cs="Arial"/>
        </w:rPr>
      </w:pPr>
    </w:p>
    <w:p w14:paraId="500FB301" w14:textId="77777777" w:rsidR="00CE7B4A" w:rsidRDefault="00CE7B4A" w:rsidP="00CE7B4A">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r>
      <w:r w:rsidRPr="00F030B8">
        <w:rPr>
          <w:rFonts w:cs="Arial"/>
        </w:rPr>
        <w:tab/>
        <w:t>No.</w:t>
      </w:r>
    </w:p>
    <w:p w14:paraId="0552FA9E" w14:textId="77777777" w:rsidR="00CE7B4A" w:rsidRPr="00F030B8" w:rsidRDefault="00CE7B4A" w:rsidP="00CE7B4A">
      <w:pPr>
        <w:rPr>
          <w:rFonts w:cs="Arial"/>
        </w:rPr>
      </w:pPr>
    </w:p>
    <w:p w14:paraId="5B653D4A" w14:textId="77777777" w:rsidR="00CE7B4A" w:rsidRPr="00686BB7" w:rsidRDefault="00CE7B4A" w:rsidP="00CE7B4A">
      <w:pPr>
        <w:jc w:val="right"/>
      </w:pPr>
      <w:r w:rsidRPr="00686BB7">
        <w:t>INITIAL DEPENDENCY HEARING</w:t>
      </w:r>
    </w:p>
    <w:p w14:paraId="55ED1B12" w14:textId="77777777" w:rsidR="00CE7B4A" w:rsidRDefault="00CE7B4A" w:rsidP="00CE7B4A">
      <w:pPr>
        <w:rPr>
          <w:rFonts w:cs="Arial"/>
        </w:rPr>
      </w:pPr>
    </w:p>
    <w:p w14:paraId="04345D8E" w14:textId="77777777" w:rsidR="00CE7B4A" w:rsidRPr="00686BB7" w:rsidRDefault="00CE7B4A" w:rsidP="00CE7B4A">
      <w:pPr>
        <w:rPr>
          <w:rFonts w:cs="Arial"/>
          <w:b/>
        </w:rPr>
      </w:pPr>
      <w:r w:rsidRPr="00686BB7">
        <w:rPr>
          <w:rFonts w:cs="Arial"/>
          <w:b/>
        </w:rPr>
        <w:t>Parties Present:</w:t>
      </w:r>
    </w:p>
    <w:p w14:paraId="67F5C628" w14:textId="77777777" w:rsidR="00CE7B4A" w:rsidRPr="00F030B8" w:rsidRDefault="00CE7B4A" w:rsidP="00CE7B4A">
      <w:pPr>
        <w:rPr>
          <w:rFonts w:cs="Arial"/>
        </w:rPr>
      </w:pPr>
      <w:r w:rsidRPr="00F030B8">
        <w:rPr>
          <w:rFonts w:cs="Arial"/>
        </w:rPr>
        <w:t>&lt;party&gt;</w:t>
      </w:r>
    </w:p>
    <w:p w14:paraId="5ABFE7DD" w14:textId="77777777" w:rsidR="00CE7B4A" w:rsidRPr="00F030B8" w:rsidRDefault="00CE7B4A" w:rsidP="00CE7B4A">
      <w:pPr>
        <w:rPr>
          <w:rFonts w:cs="Arial"/>
        </w:rPr>
      </w:pPr>
      <w:r w:rsidRPr="00F030B8">
        <w:rPr>
          <w:rFonts w:cs="Arial"/>
        </w:rPr>
        <w:t>&lt;party&gt;</w:t>
      </w:r>
    </w:p>
    <w:p w14:paraId="0F2EE261" w14:textId="77777777" w:rsidR="00CE7B4A" w:rsidRDefault="00CE7B4A" w:rsidP="00CE7B4A">
      <w:pPr>
        <w:rPr>
          <w:rFonts w:cs="Arial"/>
        </w:rPr>
      </w:pPr>
    </w:p>
    <w:p w14:paraId="14AF5598" w14:textId="77777777" w:rsidR="00CE7B4A" w:rsidRPr="00F030B8" w:rsidRDefault="00CE7B4A" w:rsidP="00CE7B4A">
      <w:pPr>
        <w:rPr>
          <w:rFonts w:cs="Arial"/>
        </w:rPr>
      </w:pPr>
      <w:r w:rsidRPr="00F030B8">
        <w:rPr>
          <w:rFonts w:cs="Arial"/>
        </w:rPr>
        <w:t xml:space="preserve">This is the time set for the </w:t>
      </w:r>
      <w:r w:rsidRPr="00686BB7">
        <w:rPr>
          <w:rFonts w:cs="Arial"/>
          <w:b/>
        </w:rPr>
        <w:t>INITIAL DEPENDENCY HEARING</w:t>
      </w:r>
      <w:r w:rsidRPr="00F030B8">
        <w:rPr>
          <w:rFonts w:cs="Arial"/>
        </w:rPr>
        <w:t xml:space="preserve"> on a dependency petition filed &lt;Date of petition filing&gt;.</w:t>
      </w:r>
    </w:p>
    <w:p w14:paraId="25735E18" w14:textId="77777777" w:rsidR="00CE7B4A" w:rsidRDefault="00CE7B4A" w:rsidP="00CE7B4A">
      <w:pPr>
        <w:rPr>
          <w:rFonts w:cs="Arial"/>
        </w:rPr>
      </w:pPr>
    </w:p>
    <w:p w14:paraId="55ED8932" w14:textId="77777777" w:rsidR="00CE7B4A" w:rsidRPr="00E510BD" w:rsidRDefault="00CE7B4A" w:rsidP="00CE7B4A">
      <w:pPr>
        <w:rPr>
          <w:rFonts w:cs="Arial"/>
          <w:b/>
        </w:rPr>
      </w:pPr>
      <w:r w:rsidRPr="00E510BD">
        <w:rPr>
          <w:rFonts w:cs="Arial"/>
          <w:b/>
        </w:rPr>
        <w:t>Open Proceedings:</w:t>
      </w:r>
    </w:p>
    <w:p w14:paraId="14B53223" w14:textId="77777777" w:rsidR="00CE7B4A" w:rsidRPr="00B23690" w:rsidRDefault="00CE7B4A" w:rsidP="00CE7B4A">
      <w:pPr>
        <w:numPr>
          <w:ilvl w:val="1"/>
          <w:numId w:val="4"/>
        </w:numPr>
        <w:tabs>
          <w:tab w:val="clear" w:pos="1260"/>
        </w:tabs>
        <w:ind w:left="1080" w:hanging="720"/>
        <w:rPr>
          <w:rFonts w:cs="Arial"/>
        </w:rPr>
      </w:pPr>
      <w:r w:rsidRPr="00B23690">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06511C92" w14:textId="77777777" w:rsidR="00CE7B4A" w:rsidRPr="00F030B8" w:rsidRDefault="00CE7B4A" w:rsidP="00CE7B4A">
      <w:pPr>
        <w:numPr>
          <w:ilvl w:val="0"/>
          <w:numId w:val="2"/>
        </w:numPr>
        <w:tabs>
          <w:tab w:val="clear" w:pos="1260"/>
        </w:tabs>
        <w:ind w:left="1080" w:hanging="720"/>
        <w:rPr>
          <w:rFonts w:cs="Arial"/>
        </w:rPr>
      </w:pPr>
      <w:r w:rsidRPr="00F030B8">
        <w:rPr>
          <w:rFonts w:cs="Arial"/>
        </w:rPr>
        <w:t>The Court orders that the proceeding be closed based on the following: &lt;reason(s) that proceeding should be closed&gt;.</w:t>
      </w:r>
    </w:p>
    <w:p w14:paraId="70C1B4D3" w14:textId="77777777" w:rsidR="00CE7B4A" w:rsidRDefault="00CE7B4A" w:rsidP="00CE7B4A">
      <w:pPr>
        <w:rPr>
          <w:rFonts w:cs="Arial"/>
        </w:rPr>
      </w:pPr>
    </w:p>
    <w:p w14:paraId="5242EDCD" w14:textId="77777777" w:rsidR="00CE7B4A" w:rsidRDefault="00CE7B4A" w:rsidP="00CE7B4A">
      <w:pPr>
        <w:spacing w:after="120"/>
        <w:ind w:left="720" w:hanging="720"/>
        <w:rPr>
          <w:rFonts w:cs="Arial"/>
        </w:rPr>
      </w:pPr>
      <w:r w:rsidRPr="00686BB7">
        <w:rPr>
          <w:rFonts w:cs="Arial"/>
          <w:b/>
        </w:rPr>
        <w:t>ICWA:</w:t>
      </w:r>
      <w:r w:rsidRPr="00F030B8">
        <w:rPr>
          <w:rFonts w:cs="Arial"/>
        </w:rPr>
        <w:t xml:space="preserve"> </w:t>
      </w:r>
    </w:p>
    <w:p w14:paraId="6CA9A1B8" w14:textId="77777777" w:rsidR="00CE7B4A" w:rsidRPr="00F030B8" w:rsidRDefault="00CE7B4A" w:rsidP="00CE7B4A">
      <w:pPr>
        <w:rPr>
          <w:rFonts w:cs="Arial"/>
        </w:rPr>
      </w:pPr>
      <w:r w:rsidRPr="00F030B8">
        <w:rPr>
          <w:rFonts w:cs="Arial"/>
        </w:rPr>
        <w:t>The Court finds that, based upon the assertions of the parties, the Indian Child Welfare Act &lt;does/does not&gt; apply.</w:t>
      </w:r>
    </w:p>
    <w:p w14:paraId="42ADFE4A" w14:textId="77777777" w:rsidR="00CE7B4A" w:rsidRDefault="00CE7B4A" w:rsidP="00CE7B4A">
      <w:pPr>
        <w:rPr>
          <w:rFonts w:cs="Arial"/>
        </w:rPr>
      </w:pPr>
    </w:p>
    <w:p w14:paraId="28012CD5" w14:textId="77777777" w:rsidR="00CE7B4A" w:rsidRPr="00686BB7" w:rsidRDefault="00CE7B4A" w:rsidP="00CE7B4A">
      <w:pPr>
        <w:spacing w:after="120"/>
        <w:rPr>
          <w:rFonts w:cs="Arial"/>
          <w:b/>
        </w:rPr>
      </w:pPr>
      <w:r w:rsidRPr="00686BB7">
        <w:rPr>
          <w:rFonts w:cs="Arial"/>
          <w:b/>
        </w:rPr>
        <w:t>Service and Jurisdiction:</w:t>
      </w:r>
    </w:p>
    <w:p w14:paraId="5021B9F3" w14:textId="77777777" w:rsidR="00CE7B4A" w:rsidRDefault="00CE7B4A" w:rsidP="00CE7B4A">
      <w:pPr>
        <w:rPr>
          <w:rFonts w:cs="Arial"/>
        </w:rPr>
      </w:pPr>
      <w:r>
        <w:rPr>
          <w:rFonts w:cs="Arial"/>
        </w:rPr>
        <w:t xml:space="preserve">The Court determines that service &lt;is complete/is not complete&gt; as to &lt;parent, guardian, or Indian custodian&gt;, &lt;relationship to child&gt; of &lt;child&gt;. </w:t>
      </w:r>
    </w:p>
    <w:p w14:paraId="38E77F90" w14:textId="77777777" w:rsidR="00CE7B4A" w:rsidRDefault="00CE7B4A" w:rsidP="00CE7B4A">
      <w:pPr>
        <w:numPr>
          <w:ilvl w:val="0"/>
          <w:numId w:val="4"/>
        </w:numPr>
        <w:tabs>
          <w:tab w:val="clear" w:pos="1440"/>
        </w:tabs>
        <w:ind w:left="1080" w:hanging="720"/>
        <w:rPr>
          <w:rFonts w:cs="Arial"/>
        </w:rPr>
      </w:pPr>
      <w:r w:rsidRPr="00F030B8">
        <w:rPr>
          <w:rFonts w:cs="Arial"/>
        </w:rPr>
        <w:t>The Court finds that the parent had notice of the hearing and that the notice advised of the consequences of not appearing at this hearing.</w:t>
      </w:r>
    </w:p>
    <w:p w14:paraId="24157A73" w14:textId="77777777" w:rsidR="00CE7B4A" w:rsidRDefault="00CE7B4A" w:rsidP="00CE7B4A">
      <w:pPr>
        <w:numPr>
          <w:ilvl w:val="0"/>
          <w:numId w:val="4"/>
        </w:numPr>
        <w:tabs>
          <w:tab w:val="clear" w:pos="1440"/>
        </w:tabs>
        <w:ind w:left="1080" w:hanging="720"/>
        <w:rPr>
          <w:rFonts w:cs="Arial"/>
        </w:rPr>
      </w:pPr>
      <w:r>
        <w:rPr>
          <w:rFonts w:cs="Arial"/>
        </w:rPr>
        <w:t>The Court finds that the attorney/GAL has met with the child and informed the child of his/her rights including their right to attend their Court hearings and speak to the judge.</w:t>
      </w:r>
    </w:p>
    <w:p w14:paraId="67075E06" w14:textId="77777777" w:rsidR="00CE7B4A" w:rsidRDefault="00CE7B4A" w:rsidP="00CE7B4A">
      <w:pPr>
        <w:ind w:left="1440"/>
        <w:rPr>
          <w:rFonts w:cs="Arial"/>
          <w:b/>
        </w:rPr>
      </w:pPr>
    </w:p>
    <w:p w14:paraId="20AEFAA0" w14:textId="77777777" w:rsidR="00CE7B4A" w:rsidRPr="00EB34C2" w:rsidRDefault="00CE7B4A" w:rsidP="00CE7B4A">
      <w:pPr>
        <w:ind w:left="1440"/>
        <w:rPr>
          <w:rFonts w:cs="Arial"/>
          <w:b/>
        </w:rPr>
      </w:pPr>
      <w:r w:rsidRPr="00EB34C2">
        <w:rPr>
          <w:rFonts w:cs="Arial"/>
          <w:b/>
        </w:rPr>
        <w:t>OR</w:t>
      </w:r>
    </w:p>
    <w:p w14:paraId="73D19BEC" w14:textId="77777777" w:rsidR="00CE7B4A" w:rsidRDefault="00CE7B4A" w:rsidP="00CE7B4A">
      <w:pPr>
        <w:numPr>
          <w:ilvl w:val="0"/>
          <w:numId w:val="4"/>
        </w:numPr>
        <w:tabs>
          <w:tab w:val="clear" w:pos="1440"/>
        </w:tabs>
        <w:ind w:left="1080" w:hanging="720"/>
        <w:rPr>
          <w:rFonts w:cs="Arial"/>
        </w:rPr>
      </w:pPr>
      <w:r>
        <w:rPr>
          <w:rFonts w:cs="Arial"/>
        </w:rPr>
        <w:lastRenderedPageBreak/>
        <w:t>The Court orders the attorney/GAL to meet with the child within 14 days of this hearing and advise him/her of their rights.</w:t>
      </w:r>
    </w:p>
    <w:p w14:paraId="4B5797BB" w14:textId="77777777" w:rsidR="00CE7B4A" w:rsidRDefault="00CE7B4A" w:rsidP="00CE7B4A">
      <w:pPr>
        <w:ind w:left="1440" w:hanging="720"/>
        <w:rPr>
          <w:rFonts w:cs="Arial"/>
        </w:rPr>
      </w:pPr>
    </w:p>
    <w:p w14:paraId="7A64C975" w14:textId="77777777" w:rsidR="00CE7B4A" w:rsidRPr="00EB34C2" w:rsidRDefault="00CE7B4A" w:rsidP="00CE7B4A">
      <w:pPr>
        <w:ind w:left="1440"/>
        <w:rPr>
          <w:rFonts w:cs="Arial"/>
          <w:b/>
        </w:rPr>
      </w:pPr>
      <w:r w:rsidRPr="00EB34C2">
        <w:rPr>
          <w:rFonts w:cs="Arial"/>
          <w:b/>
        </w:rPr>
        <w:t>OR</w:t>
      </w:r>
    </w:p>
    <w:p w14:paraId="07917642" w14:textId="77777777" w:rsidR="00CE7B4A" w:rsidRPr="00DE5E6F" w:rsidRDefault="00CE7B4A" w:rsidP="00CE7B4A">
      <w:pPr>
        <w:numPr>
          <w:ilvl w:val="0"/>
          <w:numId w:val="4"/>
        </w:numPr>
        <w:tabs>
          <w:tab w:val="clear" w:pos="1440"/>
        </w:tabs>
        <w:ind w:left="1080" w:hanging="720"/>
        <w:rPr>
          <w:rFonts w:cs="Arial"/>
        </w:rPr>
      </w:pPr>
      <w:r>
        <w:rPr>
          <w:rFonts w:cs="Arial"/>
        </w:rPr>
        <w:t>The Court finds extraordinary circumstances exist and modifies the duty of the attorney/GAL as follows: _______________________________________________________________________________________________________________________________________________________________.</w:t>
      </w:r>
    </w:p>
    <w:p w14:paraId="7272730D" w14:textId="77777777" w:rsidR="00CE7B4A" w:rsidRPr="00DE5E6F" w:rsidRDefault="00CE7B4A" w:rsidP="00CE7B4A">
      <w:pPr>
        <w:numPr>
          <w:ilvl w:val="0"/>
          <w:numId w:val="4"/>
        </w:numPr>
        <w:tabs>
          <w:tab w:val="clear" w:pos="1440"/>
        </w:tabs>
        <w:ind w:left="1080" w:hanging="720"/>
        <w:rPr>
          <w:rFonts w:cs="Arial"/>
        </w:rPr>
      </w:pPr>
      <w:r w:rsidRPr="00F030B8">
        <w:rPr>
          <w:rFonts w:cs="Arial"/>
        </w:rPr>
        <w:t xml:space="preserve">The State of Arizona, by and through the Arizona Department of Child Safety, is authorized to initiate this dependency proceeding pursuant to </w:t>
      </w:r>
      <w:bookmarkStart w:id="0" w:name="dabmci_fce1cca049664dc88cf74901bfe5e929"/>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1" w:name="dabmen_fce1cca049664dc88cf74901bfe5e929"/>
      <w:bookmarkEnd w:id="0"/>
      <w:bookmarkEnd w:id="1"/>
      <w:r>
        <w:rPr>
          <w:rFonts w:cs="Arial"/>
        </w:rPr>
        <w:t xml:space="preserve"> et seq., </w:t>
      </w:r>
      <w:bookmarkStart w:id="2" w:name="dabmci_27be5c51669549f480d7016c5fe40537"/>
      <w:r>
        <w:rPr>
          <w:rStyle w:val="Hyperlink"/>
          <w:rFonts w:cs="Arial"/>
        </w:rPr>
        <w:fldChar w:fldCharType="begin"/>
      </w:r>
      <w:r>
        <w:rPr>
          <w:rStyle w:val="Hyperlink"/>
          <w:rFonts w:cs="Arial"/>
        </w:rPr>
        <w:instrText xml:space="preserve"> HYPERLINK "https://www.westlaw.com/Document/NB2366EB0606311E78615AB6B6B131AF6/View/FullText.html?transitionType=Default&amp;contextData=(sc.Default)&amp;VR=3.0&amp;RS=da3.0" </w:instrText>
      </w:r>
      <w:r>
        <w:rPr>
          <w:rStyle w:val="Hyperlink"/>
          <w:rFonts w:cs="Arial"/>
        </w:rPr>
        <w:fldChar w:fldCharType="separate"/>
      </w:r>
      <w:r w:rsidRPr="00734153">
        <w:rPr>
          <w:rStyle w:val="Hyperlink"/>
          <w:rFonts w:cs="Arial"/>
        </w:rPr>
        <w:t>ARS §8-501</w:t>
      </w:r>
      <w:r>
        <w:rPr>
          <w:rStyle w:val="Hyperlink"/>
          <w:rFonts w:cs="Arial"/>
        </w:rPr>
        <w:fldChar w:fldCharType="end"/>
      </w:r>
      <w:bookmarkStart w:id="3" w:name="dabmen_27be5c51669549f480d7016c5fe40537"/>
      <w:bookmarkEnd w:id="2"/>
      <w:bookmarkEnd w:id="3"/>
      <w:r w:rsidRPr="00F030B8">
        <w:rPr>
          <w:rFonts w:cs="Arial"/>
        </w:rPr>
        <w:t xml:space="preserve"> et seq., </w:t>
      </w:r>
      <w:bookmarkStart w:id="4" w:name="dabmci_7a4fcf55913947e59e62537daf103804"/>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5" w:name="dabmen_7a4fcf55913947e59e62537daf103804"/>
      <w:bookmarkEnd w:id="4"/>
      <w:bookmarkEnd w:id="5"/>
      <w:r>
        <w:rPr>
          <w:rFonts w:cs="Arial"/>
        </w:rPr>
        <w:t xml:space="preserve"> et seq., and </w:t>
      </w:r>
      <w:bookmarkStart w:id="6" w:name="dabmci_bf14282c83d143fe8ad3c1ea6138d4af"/>
      <w:r>
        <w:rPr>
          <w:rFonts w:cs="Arial"/>
          <w:color w:val="0000FF"/>
          <w:u w:val="single"/>
        </w:rPr>
        <w:fldChar w:fldCharType="begin"/>
      </w:r>
      <w:r>
        <w:rPr>
          <w:rFonts w:cs="Arial"/>
          <w:color w:val="0000FF"/>
          <w:u w:val="single"/>
        </w:rPr>
        <w:instrText xml:space="preserve"> HYPERLINK "https://www.westlaw.com/Document/NC240F720ED9E11E39061EA59213A2019/View/FullText.html?transitionType=Default&amp;contextData=(sc.Default)&amp;VR=3.0&amp;RS=da3.0" </w:instrText>
      </w:r>
      <w:r>
        <w:rPr>
          <w:rFonts w:cs="Arial"/>
          <w:color w:val="0000FF"/>
          <w:u w:val="single"/>
        </w:rPr>
        <w:fldChar w:fldCharType="separate"/>
      </w:r>
      <w:r w:rsidRPr="00273378">
        <w:rPr>
          <w:rFonts w:cs="Arial"/>
          <w:color w:val="0000FF"/>
          <w:u w:val="single"/>
        </w:rPr>
        <w:t>ARS §8-453</w:t>
      </w:r>
      <w:r>
        <w:rPr>
          <w:rFonts w:cs="Arial"/>
          <w:color w:val="0000FF"/>
          <w:u w:val="single"/>
        </w:rPr>
        <w:fldChar w:fldCharType="end"/>
      </w:r>
      <w:bookmarkStart w:id="7" w:name="dabmen_bf14282c83d143fe8ad3c1ea6138d4af"/>
      <w:bookmarkEnd w:id="6"/>
      <w:bookmarkEnd w:id="7"/>
      <w:r>
        <w:rPr>
          <w:rFonts w:cs="Arial"/>
        </w:rPr>
        <w:t xml:space="preserve"> et seq.</w:t>
      </w:r>
    </w:p>
    <w:p w14:paraId="2BB4B8F4" w14:textId="77777777" w:rsidR="00CE7B4A" w:rsidRPr="00DE5E6F" w:rsidRDefault="00CE7B4A" w:rsidP="00CE7B4A">
      <w:pPr>
        <w:numPr>
          <w:ilvl w:val="0"/>
          <w:numId w:val="4"/>
        </w:numPr>
        <w:ind w:left="1080" w:hanging="720"/>
        <w:rPr>
          <w:rFonts w:cs="Arial"/>
        </w:rPr>
      </w:pPr>
      <w:r w:rsidRPr="00F030B8">
        <w:rPr>
          <w:rFonts w:cs="Arial"/>
        </w:rPr>
        <w:t xml:space="preserve">This Court has exclusive original jurisdiction over the subject matter pursuant to </w:t>
      </w:r>
      <w:bookmarkStart w:id="8" w:name="dabmci_076e7ccb84304d54b94a8236cd11d406"/>
      <w:r>
        <w:rPr>
          <w:rStyle w:val="Hyperlink"/>
          <w:rFonts w:cs="Arial"/>
        </w:rPr>
        <w:fldChar w:fldCharType="begin"/>
      </w:r>
      <w:r>
        <w:rPr>
          <w:rStyle w:val="Hyperlink"/>
          <w:rFonts w:cs="Arial"/>
        </w:rPr>
        <w:instrText xml:space="preserve"> HYPERLINK "https://www.westlaw.com/Document/N065643D090C311E9806FD1F570ABFF0E/View/FullText.html?transitionType=Default&amp;contextData=(sc.Default)&amp;VR=3.0&amp;RS=da3.0" </w:instrText>
      </w:r>
      <w:r>
        <w:rPr>
          <w:rStyle w:val="Hyperlink"/>
          <w:rFonts w:cs="Arial"/>
        </w:rPr>
        <w:fldChar w:fldCharType="separate"/>
      </w:r>
      <w:r w:rsidRPr="00734153">
        <w:rPr>
          <w:rStyle w:val="Hyperlink"/>
          <w:rFonts w:cs="Arial"/>
        </w:rPr>
        <w:t>ARS §8-202</w:t>
      </w:r>
      <w:r>
        <w:rPr>
          <w:rStyle w:val="Hyperlink"/>
          <w:rFonts w:cs="Arial"/>
        </w:rPr>
        <w:fldChar w:fldCharType="end"/>
      </w:r>
      <w:bookmarkStart w:id="9" w:name="dabmen_076e7ccb84304d54b94a8236cd11d406"/>
      <w:bookmarkEnd w:id="8"/>
      <w:bookmarkEnd w:id="9"/>
      <w:r w:rsidRPr="00F030B8">
        <w:rPr>
          <w:rFonts w:cs="Arial"/>
        </w:rPr>
        <w:t xml:space="preserve">, and venue is appropriate in &lt;County&gt; County pursuant to </w:t>
      </w:r>
      <w:bookmarkStart w:id="10" w:name="dabmci_f88240bb914b4f0d88349ed55b0e9b80"/>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734153">
        <w:rPr>
          <w:rStyle w:val="Hyperlink"/>
          <w:rFonts w:cs="Arial"/>
        </w:rPr>
        <w:t>ARS §8-206</w:t>
      </w:r>
      <w:r>
        <w:rPr>
          <w:rStyle w:val="Hyperlink"/>
          <w:rFonts w:cs="Arial"/>
        </w:rPr>
        <w:fldChar w:fldCharType="end"/>
      </w:r>
      <w:bookmarkStart w:id="11" w:name="dabmen_f88240bb914b4f0d88349ed55b0e9b80"/>
      <w:bookmarkEnd w:id="10"/>
      <w:bookmarkEnd w:id="11"/>
      <w:r w:rsidRPr="00F030B8">
        <w:rPr>
          <w:rFonts w:cs="Arial"/>
        </w:rPr>
        <w:t>.</w:t>
      </w:r>
    </w:p>
    <w:p w14:paraId="4F282C9A" w14:textId="77777777" w:rsidR="00CE7B4A" w:rsidRPr="00DE5E6F" w:rsidRDefault="00CE7B4A" w:rsidP="00CE7B4A">
      <w:pPr>
        <w:numPr>
          <w:ilvl w:val="0"/>
          <w:numId w:val="4"/>
        </w:numPr>
        <w:ind w:left="1080" w:hanging="720"/>
        <w:rPr>
          <w:rFonts w:cs="Arial"/>
        </w:rPr>
      </w:pPr>
      <w:r w:rsidRPr="00F030B8">
        <w:rPr>
          <w:rFonts w:cs="Arial"/>
        </w:rPr>
        <w:t>The Court orders the &lt;Petitioner/DCS&gt; to effectuate service by publication because the party cannot be reasonably located.</w:t>
      </w:r>
    </w:p>
    <w:p w14:paraId="5343E01E" w14:textId="77777777" w:rsidR="00CE7B4A" w:rsidRPr="00DE5E6F" w:rsidRDefault="00CE7B4A" w:rsidP="00CE7B4A">
      <w:pPr>
        <w:numPr>
          <w:ilvl w:val="0"/>
          <w:numId w:val="4"/>
        </w:numPr>
        <w:ind w:left="1080" w:hanging="720"/>
        <w:rPr>
          <w:rFonts w:cs="Arial"/>
        </w:rPr>
      </w:pPr>
      <w:r w:rsidRPr="00F030B8">
        <w:rPr>
          <w:rFonts w:cs="Arial"/>
        </w:rPr>
        <w:t xml:space="preserve">This Court has jurisdiction over the &lt;parent, guardian or Indian custodian&gt; and finds that service of process is complete as to the &lt;parent, guardian or Indian custodian&gt; pursuant to </w:t>
      </w:r>
      <w:bookmarkStart w:id="12" w:name="dabmci_3cffd87e84e143c7ab41c96ae9a68114"/>
      <w:r>
        <w:rPr>
          <w:rStyle w:val="Hyperlink"/>
          <w:rFonts w:cs="Arial"/>
        </w:rPr>
        <w:fldChar w:fldCharType="begin"/>
      </w:r>
      <w:r>
        <w:rPr>
          <w:rStyle w:val="Hyperlink"/>
          <w:rFonts w:cs="Arial"/>
        </w:rPr>
        <w:instrText xml:space="preserve"> HYPERLINK "https://www.westlaw.com/Document/NAC5897F1A8F211E9968DAC6EC2EF1BE9/View/FullText.html?transitionType=Default&amp;contextData=(sc.Default)&amp;VR=3.0&amp;RS=da3.0" </w:instrText>
      </w:r>
      <w:r>
        <w:rPr>
          <w:rStyle w:val="Hyperlink"/>
          <w:rFonts w:cs="Arial"/>
        </w:rPr>
        <w:fldChar w:fldCharType="separate"/>
      </w:r>
      <w:r w:rsidRPr="00734153">
        <w:rPr>
          <w:rStyle w:val="Hyperlink"/>
          <w:rFonts w:cs="Arial"/>
        </w:rPr>
        <w:t>ARS §8-841</w:t>
      </w:r>
      <w:r>
        <w:rPr>
          <w:rStyle w:val="Hyperlink"/>
          <w:rFonts w:cs="Arial"/>
        </w:rPr>
        <w:fldChar w:fldCharType="end"/>
      </w:r>
      <w:bookmarkStart w:id="13" w:name="dabmen_3cffd87e84e143c7ab41c96ae9a68114"/>
      <w:bookmarkEnd w:id="12"/>
      <w:bookmarkEnd w:id="13"/>
      <w:r>
        <w:rPr>
          <w:rFonts w:cs="Arial"/>
        </w:rPr>
        <w:t xml:space="preserve"> and </w:t>
      </w:r>
      <w:bookmarkStart w:id="14" w:name="dabmci_4f4c8a2769b540009d49786a29f40c24"/>
      <w:r>
        <w:rPr>
          <w:rStyle w:val="Hyperlink"/>
          <w:rFonts w:cs="Arial"/>
        </w:rPr>
        <w:fldChar w:fldCharType="begin"/>
      </w:r>
      <w:r>
        <w:rPr>
          <w:rStyle w:val="Hyperlink"/>
          <w:rFonts w:cs="Arial"/>
        </w:rPr>
        <w:instrText xml:space="preserve"> HYPERLINK "https://www.westlaw.com/Document/N4836FEC08AE111DB81C9C8BFB6809BB5/View/FullText.html?transitionType=Default&amp;contextData=(sc.Default)&amp;VR=3.0&amp;RS=da3.0"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Az.R.Juv.Ct.48</w:t>
      </w:r>
      <w:proofErr w:type="spellEnd"/>
      <w:r>
        <w:rPr>
          <w:rStyle w:val="Hyperlink"/>
          <w:rFonts w:cs="Arial"/>
        </w:rPr>
        <w:fldChar w:fldCharType="end"/>
      </w:r>
      <w:bookmarkStart w:id="15" w:name="dabmen_4f4c8a2769b540009d49786a29f40c24"/>
      <w:bookmarkEnd w:id="14"/>
      <w:bookmarkEnd w:id="15"/>
      <w:r w:rsidRPr="00F030B8">
        <w:rPr>
          <w:rFonts w:cs="Arial"/>
        </w:rPr>
        <w:t>.</w:t>
      </w:r>
    </w:p>
    <w:p w14:paraId="6DF9C65F" w14:textId="77777777" w:rsidR="00CE7B4A" w:rsidRDefault="00CE7B4A" w:rsidP="00CE7B4A"/>
    <w:p w14:paraId="223C24CC" w14:textId="77777777" w:rsidR="00CE7B4A" w:rsidRDefault="00CE7B4A" w:rsidP="00CE7B4A">
      <w:pPr>
        <w:spacing w:after="120"/>
        <w:rPr>
          <w:rFonts w:cs="Arial"/>
        </w:rPr>
      </w:pPr>
      <w:r w:rsidRPr="009D577F">
        <w:rPr>
          <w:rFonts w:cs="Arial"/>
          <w:b/>
        </w:rPr>
        <w:t>Counsel:</w:t>
      </w:r>
      <w:r w:rsidRPr="009D577F">
        <w:rPr>
          <w:rFonts w:cs="Arial"/>
        </w:rPr>
        <w:t xml:space="preserve"> </w:t>
      </w:r>
    </w:p>
    <w:p w14:paraId="785C6A5E" w14:textId="77777777" w:rsidR="00CE7B4A" w:rsidRPr="009D577F" w:rsidRDefault="00CE7B4A" w:rsidP="00CE7B4A">
      <w:pPr>
        <w:spacing w:after="120"/>
        <w:rPr>
          <w:rFonts w:cs="Arial"/>
        </w:rPr>
      </w:pPr>
      <w:r w:rsidRPr="009D577F">
        <w:rPr>
          <w:rFonts w:cs="Arial"/>
        </w:rPr>
        <w:t>Appointment of counsel is made/affirmed for the following:</w:t>
      </w:r>
    </w:p>
    <w:p w14:paraId="0C698433" w14:textId="77777777" w:rsidR="00CE7B4A" w:rsidRPr="009D577F" w:rsidRDefault="00CE7B4A" w:rsidP="00CE7B4A">
      <w:pPr>
        <w:ind w:left="360"/>
        <w:rPr>
          <w:rFonts w:cs="Arial"/>
        </w:rPr>
      </w:pPr>
      <w:r w:rsidRPr="009D577F">
        <w:rPr>
          <w:rFonts w:cs="Arial"/>
        </w:rPr>
        <w:t>&lt;Applicable counsel&gt;, &lt;counsel type&gt;;</w:t>
      </w:r>
    </w:p>
    <w:p w14:paraId="4701494E" w14:textId="77777777" w:rsidR="00CE7B4A" w:rsidRPr="009D577F" w:rsidRDefault="00CE7B4A" w:rsidP="00CE7B4A">
      <w:pPr>
        <w:ind w:left="360"/>
        <w:rPr>
          <w:rFonts w:cs="Arial"/>
        </w:rPr>
      </w:pPr>
      <w:r w:rsidRPr="009D577F">
        <w:rPr>
          <w:rFonts w:cs="Arial"/>
        </w:rPr>
        <w:t>&lt;Applicable counsel&gt;, &lt;counsel type&gt;;</w:t>
      </w:r>
    </w:p>
    <w:p w14:paraId="176618B2" w14:textId="77777777" w:rsidR="00CE7B4A" w:rsidRPr="009D577F" w:rsidRDefault="00CE7B4A" w:rsidP="00CE7B4A">
      <w:pPr>
        <w:ind w:left="360"/>
        <w:rPr>
          <w:rFonts w:cs="Arial"/>
        </w:rPr>
      </w:pPr>
      <w:r w:rsidRPr="009D577F">
        <w:rPr>
          <w:rFonts w:cs="Arial"/>
        </w:rPr>
        <w:t>&lt;Applicable counsel&gt;, &lt;counsel type&gt;.</w:t>
      </w:r>
    </w:p>
    <w:p w14:paraId="42CE1298" w14:textId="77777777" w:rsidR="00CE7B4A" w:rsidRPr="009D577F" w:rsidRDefault="00CE7B4A" w:rsidP="00CE7B4A">
      <w:pPr>
        <w:rPr>
          <w:rFonts w:cs="Arial"/>
        </w:rPr>
      </w:pPr>
    </w:p>
    <w:p w14:paraId="76AC3851" w14:textId="77777777" w:rsidR="00CE7B4A" w:rsidRPr="009D577F" w:rsidRDefault="00CE7B4A" w:rsidP="00CE7B4A">
      <w:pPr>
        <w:spacing w:after="120"/>
        <w:ind w:left="360"/>
        <w:rPr>
          <w:rFonts w:cs="Arial"/>
        </w:rPr>
      </w:pPr>
      <w:r w:rsidRPr="009D577F">
        <w:rPr>
          <w:rFonts w:cs="Arial"/>
        </w:rPr>
        <w:t>The &lt;parent, guardian or Indian custodian&gt; is to pay &lt;Amount assessed per month&gt; per month for the cost of counsel.</w:t>
      </w:r>
    </w:p>
    <w:p w14:paraId="47F9793B" w14:textId="77777777" w:rsidR="00CE7B4A" w:rsidRPr="009D577F" w:rsidRDefault="00CE7B4A" w:rsidP="00CE7B4A">
      <w:pPr>
        <w:ind w:left="360"/>
        <w:rPr>
          <w:rFonts w:cs="Arial"/>
        </w:rPr>
      </w:pPr>
      <w:r w:rsidRPr="009D577F">
        <w:rPr>
          <w:rFonts w:cs="Arial"/>
        </w:rPr>
        <w:t>The &lt;parent, guardian or Indian custodian&gt; is to pay &lt;Amount assessed per month&gt; per month for the cost of counsel.</w:t>
      </w:r>
    </w:p>
    <w:p w14:paraId="48ACA560" w14:textId="77777777" w:rsidR="00CE7B4A" w:rsidRPr="00DE5E6F" w:rsidRDefault="00CE7B4A" w:rsidP="00CE7B4A">
      <w:pPr>
        <w:numPr>
          <w:ilvl w:val="0"/>
          <w:numId w:val="4"/>
        </w:numPr>
        <w:tabs>
          <w:tab w:val="clear" w:pos="1440"/>
        </w:tabs>
        <w:ind w:left="1080" w:hanging="720"/>
        <w:rPr>
          <w:rFonts w:cs="Arial"/>
        </w:rPr>
      </w:pPr>
      <w:r w:rsidRPr="00F030B8">
        <w:rPr>
          <w:rFonts w:cs="Arial"/>
        </w:rPr>
        <w:t xml:space="preserve">The Court confirms that the &lt;parent, guardian or Indian custodian&gt; has/have met with their counsel and have been advised of their trial rights pursuant to </w:t>
      </w:r>
      <w:bookmarkStart w:id="16" w:name="dabmci_97d1b8c057734542aee8e6859b7ed8bc"/>
      <w:r>
        <w:rPr>
          <w:rStyle w:val="Hyperlink"/>
          <w:rFonts w:cs="Arial"/>
        </w:rPr>
        <w:fldChar w:fldCharType="begin"/>
      </w:r>
      <w:r>
        <w:rPr>
          <w:rStyle w:val="Hyperlink"/>
          <w:rFonts w:cs="Arial"/>
        </w:rPr>
        <w:instrText xml:space="preserve"> HYPERLINK "https://www.westlaw.com/Document/N29C1E0F0EC4411E3A2CBB1CD31DFFF6C/View/FullText.html?transitionType=Default&amp;contextData=(sc.Default)&amp;VR=3.0&amp;RS=da3.0" </w:instrText>
      </w:r>
      <w:r>
        <w:rPr>
          <w:rStyle w:val="Hyperlink"/>
          <w:rFonts w:cs="Arial"/>
        </w:rPr>
        <w:fldChar w:fldCharType="separate"/>
      </w:r>
      <w:r w:rsidRPr="00734153">
        <w:rPr>
          <w:rStyle w:val="Hyperlink"/>
          <w:rFonts w:cs="Arial"/>
        </w:rPr>
        <w:t>ARS §8-843(B)</w:t>
      </w:r>
      <w:r>
        <w:rPr>
          <w:rStyle w:val="Hyperlink"/>
          <w:rFonts w:cs="Arial"/>
        </w:rPr>
        <w:fldChar w:fldCharType="end"/>
      </w:r>
      <w:bookmarkStart w:id="17" w:name="dabmen_97d1b8c057734542aee8e6859b7ed8bc"/>
      <w:bookmarkEnd w:id="16"/>
      <w:bookmarkEnd w:id="17"/>
      <w:r w:rsidRPr="00F030B8">
        <w:rPr>
          <w:rFonts w:cs="Arial"/>
        </w:rPr>
        <w:t>.  The Court advises the parents that appointment is for one year and that new financial information will be required prior to reappointment after that time.</w:t>
      </w:r>
    </w:p>
    <w:p w14:paraId="22511EA8" w14:textId="77777777" w:rsidR="00CE7B4A" w:rsidRPr="00DE5E6F" w:rsidRDefault="00CE7B4A" w:rsidP="00CE7B4A">
      <w:pPr>
        <w:numPr>
          <w:ilvl w:val="0"/>
          <w:numId w:val="4"/>
        </w:numPr>
        <w:tabs>
          <w:tab w:val="clear" w:pos="1440"/>
        </w:tabs>
        <w:ind w:left="1080" w:hanging="720"/>
        <w:rPr>
          <w:rFonts w:cs="Arial"/>
        </w:rPr>
      </w:pPr>
      <w:r w:rsidRPr="00F030B8">
        <w:rPr>
          <w:rFonts w:cs="Arial"/>
        </w:rPr>
        <w:t>Pursuant to DCS agreement with the dependency petition, the Court orders that DCS be substituted as the petitioner in this matter.</w:t>
      </w:r>
    </w:p>
    <w:p w14:paraId="1D11D126" w14:textId="77777777" w:rsidR="00CE7B4A" w:rsidRDefault="00CE7B4A" w:rsidP="00CE7B4A">
      <w:pPr>
        <w:rPr>
          <w:rFonts w:cs="Arial"/>
        </w:rPr>
      </w:pPr>
    </w:p>
    <w:p w14:paraId="4F916889" w14:textId="77777777" w:rsidR="00CE7B4A" w:rsidRDefault="00CE7B4A" w:rsidP="00CE7B4A">
      <w:pPr>
        <w:spacing w:after="120"/>
        <w:rPr>
          <w:rFonts w:cs="Arial"/>
        </w:rPr>
      </w:pPr>
      <w:r w:rsidRPr="00686BB7">
        <w:rPr>
          <w:rFonts w:cs="Arial"/>
          <w:b/>
        </w:rPr>
        <w:lastRenderedPageBreak/>
        <w:t>Documents Reviewed:</w:t>
      </w:r>
      <w:r w:rsidRPr="00F030B8">
        <w:rPr>
          <w:rFonts w:cs="Arial"/>
        </w:rPr>
        <w:t xml:space="preserve"> </w:t>
      </w:r>
    </w:p>
    <w:p w14:paraId="18641F6C" w14:textId="77777777" w:rsidR="00CE7B4A" w:rsidRPr="00F030B8" w:rsidRDefault="00CE7B4A" w:rsidP="00CE7B4A">
      <w:pPr>
        <w:rPr>
          <w:rFonts w:cs="Arial"/>
        </w:rPr>
      </w:pPr>
      <w:r w:rsidRPr="00F030B8">
        <w:rPr>
          <w:rFonts w:cs="Arial"/>
        </w:rPr>
        <w:t>The Court has received and reviewed the following documents: &lt;documents&gt;.</w:t>
      </w:r>
    </w:p>
    <w:p w14:paraId="541628EE" w14:textId="77777777" w:rsidR="00CE7B4A" w:rsidRPr="00DE5E6F" w:rsidRDefault="00CE7B4A" w:rsidP="00CE7B4A">
      <w:pPr>
        <w:numPr>
          <w:ilvl w:val="0"/>
          <w:numId w:val="4"/>
        </w:numPr>
        <w:tabs>
          <w:tab w:val="clear" w:pos="1440"/>
        </w:tabs>
        <w:ind w:left="1080" w:hanging="720"/>
        <w:rPr>
          <w:rFonts w:cs="Arial"/>
        </w:rPr>
      </w:pPr>
      <w:r>
        <w:rPr>
          <w:rFonts w:cs="Arial"/>
        </w:rPr>
        <w:t xml:space="preserve">The Court determines that DCS &lt;has/has not&gt; filed an initial case plan pursuant to </w:t>
      </w:r>
      <w:bookmarkStart w:id="18" w:name="dabmci_266a67b90bcf4c8abfa0cacc10fd9b02"/>
      <w:r>
        <w:rPr>
          <w:rStyle w:val="Hyperlink"/>
          <w:rFonts w:cs="Arial"/>
        </w:rPr>
        <w:fldChar w:fldCharType="begin"/>
      </w:r>
      <w:r>
        <w:rPr>
          <w:rStyle w:val="Hyperlink"/>
          <w:rFonts w:cs="Arial"/>
        </w:rPr>
        <w:instrText xml:space="preserve"> HYPERLINK "https://www.westlaw.com/Document/N5B7CDB01EC4311E3BD0690A17B6995E7/View/FullText.html?transitionType=Default&amp;contextData=(sc.Default)&amp;VR=3.0&amp;RS=da3.0" </w:instrText>
      </w:r>
      <w:r>
        <w:rPr>
          <w:rStyle w:val="Hyperlink"/>
          <w:rFonts w:cs="Arial"/>
        </w:rPr>
        <w:fldChar w:fldCharType="separate"/>
      </w:r>
      <w:r w:rsidRPr="00734153">
        <w:rPr>
          <w:rStyle w:val="Hyperlink"/>
          <w:rFonts w:cs="Arial"/>
        </w:rPr>
        <w:t>ARS §8-824</w:t>
      </w:r>
      <w:r>
        <w:rPr>
          <w:rStyle w:val="Hyperlink"/>
          <w:rFonts w:cs="Arial"/>
        </w:rPr>
        <w:fldChar w:fldCharType="end"/>
      </w:r>
      <w:bookmarkStart w:id="19" w:name="dabmen_266a67b90bcf4c8abfa0cacc10fd9b02"/>
      <w:bookmarkEnd w:id="18"/>
      <w:bookmarkEnd w:id="19"/>
      <w:r w:rsidRPr="00F030B8">
        <w:rPr>
          <w:rFonts w:cs="Arial"/>
        </w:rPr>
        <w:t>.</w:t>
      </w:r>
    </w:p>
    <w:p w14:paraId="712D233A" w14:textId="77777777" w:rsidR="00CE7B4A" w:rsidRDefault="00CE7B4A" w:rsidP="00CE7B4A">
      <w:pPr>
        <w:rPr>
          <w:rFonts w:cs="Arial"/>
        </w:rPr>
      </w:pPr>
    </w:p>
    <w:p w14:paraId="6BAD5012" w14:textId="77777777" w:rsidR="00CE7B4A" w:rsidRDefault="00CE7B4A" w:rsidP="00CE7B4A">
      <w:pPr>
        <w:spacing w:after="120"/>
        <w:rPr>
          <w:rFonts w:cs="Arial"/>
        </w:rPr>
      </w:pPr>
      <w:r w:rsidRPr="00686BB7">
        <w:rPr>
          <w:rFonts w:cs="Arial"/>
          <w:b/>
        </w:rPr>
        <w:t>Paternity:</w:t>
      </w:r>
      <w:r w:rsidRPr="00F030B8">
        <w:rPr>
          <w:rFonts w:cs="Arial"/>
        </w:rPr>
        <w:t xml:space="preserve"> </w:t>
      </w:r>
    </w:p>
    <w:p w14:paraId="72E5A0DF" w14:textId="77777777" w:rsidR="00CE7B4A" w:rsidRPr="00F030B8" w:rsidRDefault="00CE7B4A" w:rsidP="00CE7B4A">
      <w:pPr>
        <w:rPr>
          <w:rFonts w:cs="Arial"/>
        </w:rPr>
      </w:pPr>
      <w:r w:rsidRPr="00F030B8">
        <w:rPr>
          <w:rFonts w:cs="Arial"/>
        </w:rPr>
        <w:t>Paternity for &lt;child&gt; &lt;has been established/has not been established&gt; by &lt;how paternity was established&gt;.</w:t>
      </w:r>
    </w:p>
    <w:p w14:paraId="6E597F39" w14:textId="77777777" w:rsidR="00CE7B4A" w:rsidRDefault="00CE7B4A" w:rsidP="00CE7B4A">
      <w:pPr>
        <w:numPr>
          <w:ilvl w:val="0"/>
          <w:numId w:val="4"/>
        </w:numPr>
        <w:tabs>
          <w:tab w:val="clear" w:pos="1440"/>
        </w:tabs>
        <w:ind w:left="1080" w:hanging="720"/>
        <w:rPr>
          <w:rFonts w:cs="Arial"/>
        </w:rPr>
      </w:pPr>
      <w:r w:rsidRPr="00F030B8">
        <w:rPr>
          <w:rFonts w:cs="Arial"/>
        </w:rPr>
        <w:t>The Court, therefore, orders &lt;parent&gt; to &lt;how paternity is to be established&gt; to establish paternity in this matter.</w:t>
      </w:r>
    </w:p>
    <w:p w14:paraId="7A72A36B" w14:textId="77777777" w:rsidR="00CE7B4A" w:rsidRDefault="00CE7B4A" w:rsidP="00CE7B4A">
      <w:pPr>
        <w:rPr>
          <w:rFonts w:cs="Arial"/>
        </w:rPr>
      </w:pPr>
    </w:p>
    <w:p w14:paraId="1AF42780" w14:textId="77777777" w:rsidR="00CE7B4A" w:rsidRDefault="00CE7B4A" w:rsidP="00CE7B4A">
      <w:pPr>
        <w:spacing w:after="120"/>
        <w:rPr>
          <w:rFonts w:cs="Arial"/>
        </w:rPr>
      </w:pPr>
      <w:r w:rsidRPr="00686BB7">
        <w:rPr>
          <w:rFonts w:cs="Arial"/>
          <w:b/>
        </w:rPr>
        <w:t>Services:</w:t>
      </w:r>
      <w:r w:rsidRPr="00F030B8">
        <w:rPr>
          <w:rFonts w:cs="Arial"/>
        </w:rPr>
        <w:t xml:space="preserve"> </w:t>
      </w:r>
    </w:p>
    <w:p w14:paraId="239C1512" w14:textId="77777777" w:rsidR="00CE7B4A" w:rsidRDefault="00CE7B4A" w:rsidP="00CE7B4A">
      <w:pPr>
        <w:rPr>
          <w:rFonts w:cs="Arial"/>
        </w:rPr>
      </w:pPr>
      <w:r w:rsidRPr="00F030B8">
        <w:rPr>
          <w:rFonts w:cs="Arial"/>
        </w:rPr>
        <w:t>The Court finds that the services proposed &lt;are/are not&gt; appropriate, necessary, and reasonable to facilitate &lt;permanency plan&gt;.</w:t>
      </w:r>
    </w:p>
    <w:p w14:paraId="35E11687" w14:textId="77777777" w:rsidR="00CE7B4A" w:rsidRDefault="00CE7B4A" w:rsidP="00CE7B4A">
      <w:pPr>
        <w:rPr>
          <w:rFonts w:cs="Arial"/>
        </w:rPr>
      </w:pPr>
    </w:p>
    <w:p w14:paraId="1729FB5B" w14:textId="77777777" w:rsidR="00CE7B4A" w:rsidRDefault="00CE7B4A" w:rsidP="00CE7B4A">
      <w:pPr>
        <w:numPr>
          <w:ilvl w:val="0"/>
          <w:numId w:val="4"/>
        </w:numPr>
        <w:tabs>
          <w:tab w:val="clear" w:pos="1440"/>
        </w:tabs>
        <w:ind w:left="1080" w:hanging="720"/>
        <w:rPr>
          <w:rFonts w:cs="Arial"/>
        </w:rPr>
      </w:pPr>
      <w:r w:rsidRPr="00F030B8">
        <w:rPr>
          <w:rFonts w:cs="Arial"/>
        </w:rPr>
        <w:t>The Court orders DCS to provide reunification services.</w:t>
      </w:r>
    </w:p>
    <w:p w14:paraId="409CA262" w14:textId="77777777" w:rsidR="00CE7B4A" w:rsidRPr="00DE5E6F" w:rsidRDefault="00CE7B4A" w:rsidP="00CE7B4A">
      <w:pPr>
        <w:numPr>
          <w:ilvl w:val="0"/>
          <w:numId w:val="4"/>
        </w:numPr>
        <w:tabs>
          <w:tab w:val="clear" w:pos="1440"/>
        </w:tabs>
        <w:ind w:left="1080" w:hanging="720"/>
        <w:rPr>
          <w:rFonts w:cs="Arial"/>
        </w:rPr>
      </w:pPr>
      <w:r w:rsidRPr="0062504D">
        <w:rPr>
          <w:rFonts w:cs="Arial"/>
        </w:rPr>
        <w:t>The Court orders</w:t>
      </w:r>
      <w:r>
        <w:rPr>
          <w:rFonts w:cs="Arial"/>
          <w:b/>
        </w:rPr>
        <w:t xml:space="preserve"> </w:t>
      </w:r>
      <w:r>
        <w:rPr>
          <w:rFonts w:cs="Arial"/>
        </w:rPr>
        <w:t xml:space="preserve">DCS NOT to provide reunification services based on the following condition(s): &lt;conditions&gt;.  </w:t>
      </w:r>
      <w:bookmarkStart w:id="20" w:name="dabmci_2e19552d12ef4a77a01c4d328535356d"/>
      <w:r>
        <w:rPr>
          <w:rFonts w:cs="Arial"/>
          <w:color w:val="0000FF"/>
          <w:u w:val="single"/>
        </w:rPr>
        <w:fldChar w:fldCharType="begin"/>
      </w:r>
      <w:r>
        <w:rPr>
          <w:rFonts w:cs="Arial"/>
          <w:color w:val="0000FF"/>
          <w:u w:val="single"/>
        </w:rPr>
        <w:instrText xml:space="preserve"> HYPERLINK "https://www.westlaw.com/Document/NBD5DF0916A2311E8B2F5FD79ADDF3801/View/FullText.html?transitionType=Default&amp;contextData=(sc.Default)&amp;VR=3.0&amp;RS=da3.0" </w:instrText>
      </w:r>
      <w:r>
        <w:rPr>
          <w:rFonts w:cs="Arial"/>
          <w:color w:val="0000FF"/>
          <w:u w:val="single"/>
        </w:rPr>
        <w:fldChar w:fldCharType="separate"/>
      </w:r>
      <w:r w:rsidRPr="00273378">
        <w:rPr>
          <w:rFonts w:cs="Arial"/>
          <w:color w:val="0000FF"/>
          <w:u w:val="single"/>
        </w:rPr>
        <w:t>ARS §8-846(D)</w:t>
      </w:r>
      <w:r>
        <w:rPr>
          <w:rFonts w:cs="Arial"/>
          <w:color w:val="0000FF"/>
          <w:u w:val="single"/>
        </w:rPr>
        <w:fldChar w:fldCharType="end"/>
      </w:r>
      <w:bookmarkStart w:id="21" w:name="dabmen_2e19552d12ef4a77a01c4d328535356d"/>
      <w:bookmarkEnd w:id="20"/>
      <w:bookmarkEnd w:id="21"/>
      <w:r w:rsidRPr="000808B4">
        <w:rPr>
          <w:rFonts w:cs="Arial"/>
        </w:rPr>
        <w:t xml:space="preserve"> </w:t>
      </w:r>
    </w:p>
    <w:p w14:paraId="540E58A6" w14:textId="77777777" w:rsidR="00CE7B4A" w:rsidRPr="00DE5E6F" w:rsidRDefault="00CE7B4A" w:rsidP="00CE7B4A">
      <w:pPr>
        <w:numPr>
          <w:ilvl w:val="0"/>
          <w:numId w:val="4"/>
        </w:numPr>
        <w:tabs>
          <w:tab w:val="clear" w:pos="1440"/>
        </w:tabs>
        <w:ind w:left="1080" w:hanging="720"/>
        <w:rPr>
          <w:rFonts w:cs="Arial"/>
        </w:rPr>
      </w:pPr>
      <w:r w:rsidRPr="00F030B8">
        <w:rPr>
          <w:rFonts w:cs="Arial"/>
        </w:rPr>
        <w:t>The Court orders the parties to participate in the proposed services. &lt;If this is a private petition and a party other than DCS is to provide services, specify the party and who will be responsible for the cost of services.&gt;</w:t>
      </w:r>
    </w:p>
    <w:p w14:paraId="456BCA58" w14:textId="77777777" w:rsidR="00CE7B4A" w:rsidRDefault="00CE7B4A" w:rsidP="00CE7B4A">
      <w:pPr>
        <w:numPr>
          <w:ilvl w:val="0"/>
          <w:numId w:val="4"/>
        </w:numPr>
        <w:tabs>
          <w:tab w:val="clear" w:pos="1440"/>
        </w:tabs>
        <w:ind w:left="1080" w:hanging="720"/>
        <w:rPr>
          <w:rFonts w:cs="Arial"/>
        </w:rPr>
      </w:pPr>
      <w:r w:rsidRPr="00F030B8">
        <w:rPr>
          <w:rFonts w:cs="Arial"/>
        </w:rPr>
        <w:t>As DCS is now substituting as the petitioner, the Court orders DCS to prepare a case plan consistent with the services proposed in this hearing.</w:t>
      </w:r>
    </w:p>
    <w:p w14:paraId="533E7D57" w14:textId="77777777" w:rsidR="00CE7B4A" w:rsidRDefault="00CE7B4A" w:rsidP="00CE7B4A">
      <w:pPr>
        <w:numPr>
          <w:ilvl w:val="0"/>
          <w:numId w:val="4"/>
        </w:numPr>
        <w:tabs>
          <w:tab w:val="clear" w:pos="1440"/>
        </w:tabs>
        <w:ind w:left="1080" w:hanging="720"/>
        <w:rPr>
          <w:rFonts w:cs="Arial"/>
        </w:rPr>
      </w:pPr>
      <w:r>
        <w:rPr>
          <w:rFonts w:cs="Arial"/>
        </w:rPr>
        <w:t>In an ICWA case, the Court orders that active efforts be made to provide remedial services and rehabilitative programs designed to prevent the breakup of the Indian family.</w:t>
      </w:r>
    </w:p>
    <w:p w14:paraId="1F5B579C" w14:textId="77777777" w:rsidR="00CE7B4A" w:rsidRDefault="00CE7B4A" w:rsidP="00CE7B4A">
      <w:pPr>
        <w:ind w:left="720"/>
        <w:rPr>
          <w:rFonts w:cs="Arial"/>
        </w:rPr>
      </w:pPr>
    </w:p>
    <w:p w14:paraId="0E3CCFD2" w14:textId="77777777" w:rsidR="00CE7B4A" w:rsidRDefault="00CE7B4A" w:rsidP="00CE7B4A">
      <w:pPr>
        <w:rPr>
          <w:rFonts w:cs="Arial"/>
        </w:rPr>
      </w:pPr>
      <w:r w:rsidRPr="00686BB7">
        <w:rPr>
          <w:rFonts w:cs="Arial"/>
          <w:b/>
        </w:rPr>
        <w:t>Additional orders</w:t>
      </w:r>
      <w:r w:rsidRPr="00F030B8">
        <w:rPr>
          <w:rFonts w:cs="Arial"/>
        </w:rPr>
        <w:t>: &lt;GAL and/or CASA appointment, Protective Orders, Support, etc.&gt;</w:t>
      </w:r>
    </w:p>
    <w:p w14:paraId="4DFD5E17" w14:textId="77777777" w:rsidR="00CE7B4A" w:rsidRDefault="00CE7B4A" w:rsidP="00CE7B4A">
      <w:pPr>
        <w:jc w:val="both"/>
        <w:rPr>
          <w:b/>
        </w:rPr>
      </w:pPr>
    </w:p>
    <w:p w14:paraId="0C0F780B" w14:textId="77777777" w:rsidR="00CE7B4A" w:rsidRPr="00E95067" w:rsidRDefault="00CE7B4A" w:rsidP="00CE7B4A">
      <w:pPr>
        <w:numPr>
          <w:ilvl w:val="0"/>
          <w:numId w:val="6"/>
        </w:numPr>
        <w:ind w:left="1080" w:hanging="720"/>
      </w:pPr>
      <w:r w:rsidRPr="00E95067">
        <w:t>The Court finds that the services proposed for the child in the preliminary protective hearing report are/are not necessary and appropriate and makes the following additional orders:</w:t>
      </w:r>
    </w:p>
    <w:p w14:paraId="487CEFC0" w14:textId="77777777" w:rsidR="00CE7B4A" w:rsidRPr="00E95067" w:rsidRDefault="00CE7B4A" w:rsidP="00CE7B4A">
      <w:pPr>
        <w:ind w:left="1080"/>
      </w:pPr>
      <w:r>
        <w:t>________________________________________________________________________________________________________________________________</w:t>
      </w:r>
      <w:r w:rsidRPr="0062504D">
        <w:rPr>
          <w:u w:val="single"/>
        </w:rPr>
        <w:tab/>
      </w:r>
      <w:r w:rsidRPr="0062504D">
        <w:rPr>
          <w:u w:val="single"/>
        </w:rPr>
        <w:tab/>
      </w:r>
      <w:r w:rsidRPr="0062504D">
        <w:rPr>
          <w:u w:val="single"/>
        </w:rPr>
        <w:tab/>
      </w:r>
      <w:r w:rsidRPr="0062504D">
        <w:rPr>
          <w:u w:val="single"/>
        </w:rPr>
        <w:tab/>
      </w:r>
      <w:r w:rsidRPr="0062504D">
        <w:rPr>
          <w:u w:val="single"/>
        </w:rPr>
        <w:tab/>
      </w:r>
      <w:r w:rsidRPr="0062504D">
        <w:rPr>
          <w:u w:val="single"/>
        </w:rPr>
        <w:tab/>
      </w:r>
      <w:r w:rsidRPr="0062504D">
        <w:rPr>
          <w:u w:val="single"/>
        </w:rPr>
        <w:tab/>
      </w:r>
      <w:r w:rsidRPr="0062504D">
        <w:rPr>
          <w:u w:val="single"/>
        </w:rPr>
        <w:tab/>
      </w:r>
      <w:r w:rsidRPr="0062504D">
        <w:rPr>
          <w:u w:val="single"/>
        </w:rPr>
        <w:tab/>
      </w:r>
      <w:r w:rsidRPr="0062504D">
        <w:rPr>
          <w:u w:val="single"/>
        </w:rPr>
        <w:tab/>
      </w:r>
    </w:p>
    <w:p w14:paraId="7C06639A" w14:textId="77777777" w:rsidR="00CE7B4A" w:rsidRPr="00E95067" w:rsidRDefault="00CE7B4A" w:rsidP="00CE7B4A">
      <w:pPr>
        <w:ind w:left="1080"/>
      </w:pPr>
      <w:r w:rsidRPr="00E95067">
        <w:t xml:space="preserve">      </w:t>
      </w:r>
    </w:p>
    <w:p w14:paraId="1C27F665" w14:textId="77777777" w:rsidR="00CE7B4A" w:rsidRDefault="00CE7B4A" w:rsidP="00CE7B4A">
      <w:pPr>
        <w:numPr>
          <w:ilvl w:val="0"/>
          <w:numId w:val="6"/>
        </w:numPr>
        <w:ind w:left="1080" w:hanging="720"/>
      </w:pPr>
      <w:r w:rsidRPr="00E95067">
        <w:t>DCS is ordered to follow the recommendations and implement the services identified in the 72-hour emergency response assessment.</w:t>
      </w:r>
    </w:p>
    <w:p w14:paraId="44244673" w14:textId="77777777" w:rsidR="00CE7B4A" w:rsidRDefault="00CE7B4A" w:rsidP="00CE7B4A">
      <w:pPr>
        <w:ind w:left="360"/>
        <w:jc w:val="both"/>
      </w:pPr>
    </w:p>
    <w:p w14:paraId="3EAF87BD" w14:textId="77777777" w:rsidR="00CE7B4A" w:rsidRPr="00E95067" w:rsidRDefault="00CE7B4A" w:rsidP="00CE7B4A">
      <w:pPr>
        <w:jc w:val="both"/>
        <w:rPr>
          <w:b/>
        </w:rPr>
      </w:pPr>
      <w:r w:rsidRPr="00E95067">
        <w:rPr>
          <w:b/>
        </w:rPr>
        <w:lastRenderedPageBreak/>
        <w:t>Education Issues:</w:t>
      </w:r>
    </w:p>
    <w:p w14:paraId="6EF72EF4" w14:textId="77777777" w:rsidR="00CE7B4A" w:rsidRPr="00E95067" w:rsidRDefault="00CE7B4A" w:rsidP="00CE7B4A">
      <w:pPr>
        <w:ind w:left="360"/>
        <w:jc w:val="both"/>
      </w:pPr>
    </w:p>
    <w:p w14:paraId="1BD149EB" w14:textId="77777777" w:rsidR="00CE7B4A" w:rsidRDefault="00CE7B4A" w:rsidP="00CE7B4A">
      <w:pPr>
        <w:numPr>
          <w:ilvl w:val="0"/>
          <w:numId w:val="5"/>
        </w:numPr>
        <w:jc w:val="both"/>
      </w:pPr>
      <w:r>
        <w:t>The child is:</w:t>
      </w:r>
    </w:p>
    <w:p w14:paraId="470D78D7" w14:textId="77777777" w:rsidR="00CE7B4A" w:rsidRDefault="00CE7B4A" w:rsidP="00CE7B4A">
      <w:pPr>
        <w:numPr>
          <w:ilvl w:val="0"/>
          <w:numId w:val="6"/>
        </w:numPr>
        <w:ind w:left="1440" w:hanging="720"/>
        <w:jc w:val="both"/>
      </w:pPr>
      <w:r>
        <w:t>In school (age 6 and older);</w:t>
      </w:r>
    </w:p>
    <w:p w14:paraId="6AE199FC" w14:textId="77777777" w:rsidR="00CE7B4A" w:rsidRPr="00E95067" w:rsidRDefault="00CE7B4A" w:rsidP="00CE7B4A">
      <w:pPr>
        <w:numPr>
          <w:ilvl w:val="0"/>
          <w:numId w:val="6"/>
        </w:numPr>
        <w:ind w:left="1440" w:hanging="720"/>
        <w:jc w:val="both"/>
      </w:pPr>
      <w:r>
        <w:t>Enrolled in an early intervention/preschool program (ages birth to 5).</w:t>
      </w:r>
    </w:p>
    <w:p w14:paraId="6BDD3621" w14:textId="77777777" w:rsidR="00CE7B4A" w:rsidRPr="00E95067" w:rsidRDefault="00CE7B4A" w:rsidP="00CE7B4A">
      <w:pPr>
        <w:ind w:left="720"/>
        <w:jc w:val="both"/>
      </w:pPr>
    </w:p>
    <w:p w14:paraId="20728B3F" w14:textId="77777777" w:rsidR="00CE7B4A" w:rsidRDefault="00CE7B4A" w:rsidP="00CE7B4A">
      <w:pPr>
        <w:numPr>
          <w:ilvl w:val="0"/>
          <w:numId w:val="5"/>
        </w:numPr>
      </w:pPr>
      <w:r>
        <w:t>The child has the following special needs:</w:t>
      </w:r>
    </w:p>
    <w:p w14:paraId="6554C215" w14:textId="77777777" w:rsidR="00CE7B4A" w:rsidRPr="00E95067" w:rsidRDefault="00CE7B4A" w:rsidP="00CE7B4A">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A6836E" w14:textId="77777777" w:rsidR="00CE7B4A" w:rsidRPr="00E95067" w:rsidRDefault="00CE7B4A" w:rsidP="00CE7B4A">
      <w:pPr>
        <w:ind w:left="360"/>
        <w:jc w:val="both"/>
        <w:rPr>
          <w:b/>
          <w:u w:val="single"/>
        </w:rPr>
      </w:pPr>
    </w:p>
    <w:p w14:paraId="320D1111" w14:textId="77777777" w:rsidR="00CE7B4A" w:rsidRDefault="00CE7B4A" w:rsidP="00CE7B4A">
      <w:pPr>
        <w:numPr>
          <w:ilvl w:val="0"/>
          <w:numId w:val="5"/>
        </w:numPr>
      </w:pPr>
      <w:r>
        <w:t xml:space="preserve">The educational responsibilities will be divided as follows to ensure that the child’s educational needs are being met and that the child has educational stability: </w:t>
      </w:r>
    </w:p>
    <w:p w14:paraId="3A5487A0" w14:textId="77777777" w:rsidR="00CE7B4A" w:rsidRDefault="00CE7B4A" w:rsidP="00CE7B4A">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E3E5C8" w14:textId="77777777" w:rsidR="00CE7B4A" w:rsidRDefault="00CE7B4A" w:rsidP="00CE7B4A">
      <w:pPr>
        <w:ind w:left="720" w:hanging="720"/>
      </w:pPr>
    </w:p>
    <w:p w14:paraId="5CF30FA2" w14:textId="77777777" w:rsidR="00CE7B4A" w:rsidRPr="0062504D" w:rsidRDefault="00CE7B4A" w:rsidP="00CE7B4A">
      <w:pPr>
        <w:ind w:left="360"/>
      </w:pPr>
      <w:r>
        <w:t xml:space="preserve">NOTE: The DCS report shall include efforts made to ensure the educational stability of the child and the Court is to enter orders addressing the child’s educational stability.  </w:t>
      </w:r>
      <w:bookmarkStart w:id="22" w:name="dabmci_466efcb2e3634109a30ac3a80aa6399e"/>
      <w:r>
        <w:rPr>
          <w:color w:val="0000FF"/>
          <w:u w:val="single"/>
        </w:rPr>
        <w:fldChar w:fldCharType="begin"/>
      </w:r>
      <w:r>
        <w:rPr>
          <w:color w:val="0000FF"/>
          <w:u w:val="single"/>
        </w:rPr>
        <w:instrText xml:space="preserve"> HYPERLINK "https://www.westlaw.com/Document/N31E70230717B11DAA16E8D4AC7636430/View/FullText.html?transitionType=Default&amp;contextData=(sc.Default)&amp;VR=3.0&amp;RS=da3.0" </w:instrText>
      </w:r>
      <w:r>
        <w:rPr>
          <w:color w:val="0000FF"/>
          <w:u w:val="single"/>
        </w:rPr>
        <w:fldChar w:fldCharType="separate"/>
      </w:r>
      <w:proofErr w:type="spellStart"/>
      <w:r w:rsidRPr="001B42DE">
        <w:rPr>
          <w:color w:val="0000FF"/>
          <w:u w:val="single"/>
        </w:rPr>
        <w:t>Az.R.Juv.Ct</w:t>
      </w:r>
      <w:proofErr w:type="spellEnd"/>
      <w:r w:rsidRPr="001B42DE">
        <w:rPr>
          <w:color w:val="0000FF"/>
          <w:u w:val="single"/>
        </w:rPr>
        <w:t>. 45(B)(7)</w:t>
      </w:r>
      <w:r>
        <w:rPr>
          <w:color w:val="0000FF"/>
          <w:u w:val="single"/>
        </w:rPr>
        <w:fldChar w:fldCharType="end"/>
      </w:r>
      <w:bookmarkStart w:id="23" w:name="dabmen_466efcb2e3634109a30ac3a80aa6399e"/>
      <w:bookmarkEnd w:id="22"/>
      <w:bookmarkEnd w:id="23"/>
      <w:r w:rsidRPr="008472DC">
        <w:t xml:space="preserve">, </w:t>
      </w:r>
      <w:bookmarkStart w:id="24" w:name="dabmci_2dee52ec252c441db8269fdb66fdf12b"/>
      <w:r>
        <w:rPr>
          <w:color w:val="0000FF"/>
          <w:u w:val="single"/>
        </w:rPr>
        <w:fldChar w:fldCharType="begin"/>
      </w:r>
      <w:r>
        <w:rPr>
          <w:color w:val="0000FF"/>
          <w:u w:val="single"/>
        </w:rPr>
        <w:instrText xml:space="preserve"> HYPERLINK "https://www.westlaw.com/Document/NBDB8DD50A78D11DE898AF6B3DC5861E3/View/FullText.html?transitionType=Default&amp;contextData=(sc.Default)&amp;VR=3.0&amp;RS=da3.0" </w:instrText>
      </w:r>
      <w:r>
        <w:rPr>
          <w:color w:val="0000FF"/>
          <w:u w:val="single"/>
        </w:rPr>
        <w:fldChar w:fldCharType="separate"/>
      </w:r>
      <w:proofErr w:type="spellStart"/>
      <w:r w:rsidRPr="001B42DE">
        <w:rPr>
          <w:color w:val="0000FF"/>
          <w:u w:val="single"/>
        </w:rPr>
        <w:t>Az.R.Juv.Ct</w:t>
      </w:r>
      <w:proofErr w:type="spellEnd"/>
      <w:r w:rsidRPr="001B42DE">
        <w:rPr>
          <w:color w:val="0000FF"/>
          <w:u w:val="single"/>
        </w:rPr>
        <w:t>. 58(C)(2)</w:t>
      </w:r>
      <w:r>
        <w:rPr>
          <w:color w:val="0000FF"/>
          <w:u w:val="single"/>
        </w:rPr>
        <w:fldChar w:fldCharType="end"/>
      </w:r>
      <w:bookmarkStart w:id="25" w:name="dabmen_2dee52ec252c441db8269fdb66fdf12b"/>
      <w:bookmarkEnd w:id="24"/>
      <w:bookmarkEnd w:id="25"/>
      <w:r>
        <w:t>.</w:t>
      </w:r>
    </w:p>
    <w:p w14:paraId="73AB9BDB" w14:textId="77777777" w:rsidR="00CE7B4A" w:rsidRDefault="00CE7B4A" w:rsidP="00CE7B4A">
      <w:pPr>
        <w:rPr>
          <w:rFonts w:cs="Arial"/>
          <w:b/>
        </w:rPr>
      </w:pPr>
    </w:p>
    <w:p w14:paraId="198710E1" w14:textId="77777777" w:rsidR="00CE7B4A" w:rsidRDefault="00CE7B4A" w:rsidP="00CE7B4A">
      <w:pPr>
        <w:spacing w:after="120"/>
        <w:rPr>
          <w:rFonts w:cs="Arial"/>
        </w:rPr>
      </w:pPr>
      <w:r w:rsidRPr="00686BB7">
        <w:rPr>
          <w:rFonts w:cs="Arial"/>
          <w:b/>
        </w:rPr>
        <w:t>Plea:</w:t>
      </w:r>
      <w:r w:rsidRPr="00F030B8">
        <w:rPr>
          <w:rFonts w:cs="Arial"/>
        </w:rPr>
        <w:t xml:space="preserve"> </w:t>
      </w:r>
    </w:p>
    <w:p w14:paraId="6D9F4600" w14:textId="77777777" w:rsidR="00CE7B4A" w:rsidRPr="00F030B8" w:rsidRDefault="00CE7B4A" w:rsidP="00CE7B4A">
      <w:pPr>
        <w:rPr>
          <w:rFonts w:cs="Arial"/>
        </w:rPr>
      </w:pPr>
      <w:r w:rsidRPr="00F030B8">
        <w:rPr>
          <w:rFonts w:cs="Arial"/>
        </w:rPr>
        <w:t>The &lt;parent, guardian or Indian custodian&gt; enters a plea of &lt;plea&gt; to the allegations contained in the &lt;motion/petition&gt;.</w:t>
      </w:r>
    </w:p>
    <w:p w14:paraId="124D6C08" w14:textId="77777777" w:rsidR="00CE7B4A" w:rsidRPr="00DE5E6F" w:rsidRDefault="00CE7B4A" w:rsidP="00CE7B4A">
      <w:pPr>
        <w:numPr>
          <w:ilvl w:val="0"/>
          <w:numId w:val="4"/>
        </w:numPr>
        <w:tabs>
          <w:tab w:val="clear" w:pos="1440"/>
        </w:tabs>
        <w:ind w:left="1080" w:hanging="720"/>
        <w:rPr>
          <w:rFonts w:cs="Arial"/>
        </w:rPr>
      </w:pPr>
      <w:r w:rsidRPr="00F030B8">
        <w:rPr>
          <w:rFonts w:cs="Arial"/>
        </w:rPr>
        <w:t>The Court advises the &lt;parent, guardian or Indian custodian&gt; of their rights, including their right to request prior to the hearing that any hearing be open to the public. The Court determines that &lt;parent, guardian or Indian custodian&gt; understands their rights.</w:t>
      </w:r>
    </w:p>
    <w:p w14:paraId="3F363677" w14:textId="77777777" w:rsidR="00CE7B4A" w:rsidRPr="00DE5E6F" w:rsidRDefault="00CE7B4A" w:rsidP="00CE7B4A">
      <w:pPr>
        <w:numPr>
          <w:ilvl w:val="0"/>
          <w:numId w:val="4"/>
        </w:numPr>
        <w:tabs>
          <w:tab w:val="clear" w:pos="1440"/>
        </w:tabs>
        <w:ind w:left="1080" w:hanging="720"/>
        <w:rPr>
          <w:rFonts w:cs="Arial"/>
        </w:rPr>
      </w:pPr>
      <w:r w:rsidRPr="00F030B8">
        <w:rPr>
          <w:rFonts w:cs="Arial"/>
        </w:rPr>
        <w:t>The Court advises the &lt;parent, guardian or Indian custodian&gt; that a Permanency Hearing will be held within one year from the child’s removal from their care, or within six months if the child is under three. If significant progress toward the case plan of reunification has not occurred by the Permanency Hearing, the case plan goal will be changed.</w:t>
      </w:r>
    </w:p>
    <w:p w14:paraId="1DD4389E" w14:textId="77777777" w:rsidR="00CE7B4A" w:rsidRDefault="00CE7B4A" w:rsidP="00CE7B4A">
      <w:pPr>
        <w:numPr>
          <w:ilvl w:val="0"/>
          <w:numId w:val="4"/>
        </w:numPr>
        <w:tabs>
          <w:tab w:val="clear" w:pos="1440"/>
        </w:tabs>
        <w:ind w:left="1080" w:hanging="720"/>
        <w:rPr>
          <w:rFonts w:cs="Arial"/>
        </w:rPr>
      </w:pPr>
      <w:r w:rsidRPr="00F030B8">
        <w:rPr>
          <w:rFonts w:cs="Arial"/>
        </w:rPr>
        <w:t>The Court determines that the plea of &lt;plea&gt; made by &lt;parent, guardian or Indian custodian&gt; was made knowingly, intelligently and voluntarily.</w:t>
      </w:r>
    </w:p>
    <w:p w14:paraId="718CC084" w14:textId="77777777" w:rsidR="00CE7B4A" w:rsidRPr="00DE5E6F" w:rsidRDefault="00CE7B4A" w:rsidP="00CE7B4A">
      <w:pPr>
        <w:numPr>
          <w:ilvl w:val="0"/>
          <w:numId w:val="4"/>
        </w:numPr>
        <w:tabs>
          <w:tab w:val="clear" w:pos="1440"/>
        </w:tabs>
        <w:ind w:left="1080" w:hanging="720"/>
        <w:rPr>
          <w:rFonts w:cs="Arial"/>
        </w:rPr>
      </w:pPr>
      <w:r>
        <w:rPr>
          <w:rFonts w:cs="Arial"/>
        </w:rPr>
        <w:t>The Court provides foster parents, shelter care facility, receiving foster home, pre-adoptive parents or a member of the child’s extended family with whom the child has been placed an opportunity to be heard.</w:t>
      </w:r>
    </w:p>
    <w:p w14:paraId="3FC26DDB" w14:textId="77777777" w:rsidR="00CE7B4A" w:rsidRDefault="00CE7B4A" w:rsidP="00CE7B4A">
      <w:pPr>
        <w:rPr>
          <w:rFonts w:cs="Arial"/>
        </w:rPr>
      </w:pPr>
    </w:p>
    <w:p w14:paraId="20FD4599" w14:textId="77777777" w:rsidR="00CE7B4A" w:rsidRDefault="00CE7B4A" w:rsidP="00CE7B4A">
      <w:pPr>
        <w:spacing w:after="120"/>
        <w:rPr>
          <w:rFonts w:cs="Arial"/>
          <w:b/>
        </w:rPr>
      </w:pPr>
    </w:p>
    <w:p w14:paraId="2F63CCA9" w14:textId="77777777" w:rsidR="00CE7B4A" w:rsidRDefault="00CE7B4A" w:rsidP="00CE7B4A">
      <w:pPr>
        <w:spacing w:after="120"/>
        <w:rPr>
          <w:rFonts w:cs="Arial"/>
          <w:b/>
        </w:rPr>
      </w:pPr>
    </w:p>
    <w:p w14:paraId="22AF2D36" w14:textId="77777777" w:rsidR="00CE7B4A" w:rsidRDefault="00CE7B4A" w:rsidP="00CE7B4A">
      <w:pPr>
        <w:spacing w:after="120"/>
        <w:rPr>
          <w:rFonts w:cs="Arial"/>
        </w:rPr>
      </w:pPr>
      <w:r w:rsidRPr="00686BB7">
        <w:rPr>
          <w:rFonts w:cs="Arial"/>
          <w:b/>
        </w:rPr>
        <w:lastRenderedPageBreak/>
        <w:t>Adjudication:</w:t>
      </w:r>
      <w:r w:rsidRPr="00F030B8">
        <w:rPr>
          <w:rFonts w:cs="Arial"/>
        </w:rPr>
        <w:t xml:space="preserve"> </w:t>
      </w:r>
    </w:p>
    <w:p w14:paraId="356644D6" w14:textId="77777777" w:rsidR="00CE7B4A" w:rsidRPr="00F030B8" w:rsidRDefault="00CE7B4A" w:rsidP="00CE7B4A">
      <w:pPr>
        <w:rPr>
          <w:rFonts w:cs="Arial"/>
        </w:rPr>
      </w:pPr>
      <w:r w:rsidRPr="00F030B8">
        <w:rPr>
          <w:rFonts w:cs="Arial"/>
        </w:rPr>
        <w:t>The Court, having considered the verified petition/amended petition dated &lt;Date petition filed&gt;, the Court reports filed and admitted into evidence, and the plea of &lt;plea&gt; of the &lt;parent, guardian or Indian custodian&gt;, finds by &lt;burden of proof&gt; that:</w:t>
      </w:r>
    </w:p>
    <w:p w14:paraId="2F6BA5E0" w14:textId="77777777" w:rsidR="00CE7B4A" w:rsidRPr="00DE5E6F" w:rsidRDefault="00CE7B4A" w:rsidP="00CE7B4A">
      <w:pPr>
        <w:numPr>
          <w:ilvl w:val="0"/>
          <w:numId w:val="4"/>
        </w:numPr>
        <w:tabs>
          <w:tab w:val="clear" w:pos="1440"/>
        </w:tabs>
        <w:ind w:left="1080" w:hanging="720"/>
        <w:rPr>
          <w:rFonts w:cs="Arial"/>
        </w:rPr>
      </w:pPr>
      <w:r>
        <w:rPr>
          <w:rFonts w:cs="Arial"/>
        </w:rPr>
        <w:t xml:space="preserve">The child, &lt;child&gt;, is dependent as to &lt;parent, guardian, Indian custodian&gt;.   </w:t>
      </w:r>
      <w:bookmarkStart w:id="26" w:name="dabmci_0b05fc8e16c3482a998cbd16d5185ca4"/>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27" w:name="dabmen_0b05fc8e16c3482a998cbd16d5185ca4"/>
      <w:bookmarkEnd w:id="26"/>
      <w:bookmarkEnd w:id="27"/>
    </w:p>
    <w:p w14:paraId="4FC75DF0" w14:textId="77777777" w:rsidR="00CE7B4A" w:rsidRPr="00DE5E6F" w:rsidRDefault="00CE7B4A" w:rsidP="00CE7B4A">
      <w:pPr>
        <w:numPr>
          <w:ilvl w:val="0"/>
          <w:numId w:val="4"/>
        </w:numPr>
        <w:tabs>
          <w:tab w:val="clear" w:pos="1440"/>
        </w:tabs>
        <w:ind w:left="1080" w:hanging="720"/>
        <w:rPr>
          <w:rFonts w:cs="Arial"/>
        </w:rPr>
      </w:pPr>
      <w:r w:rsidRPr="00F030B8">
        <w:rPr>
          <w:rFonts w:cs="Arial"/>
        </w:rPr>
        <w:t>The Court, therefore, orders that &lt;child&gt; be made a ward(s) of the Court as a dependent child and placed in the care, custody and control of the Arizona Department of Child Safety.</w:t>
      </w:r>
    </w:p>
    <w:p w14:paraId="2E6B98AE" w14:textId="77777777" w:rsidR="00CE7B4A" w:rsidRDefault="00CE7B4A" w:rsidP="00CE7B4A">
      <w:pPr>
        <w:rPr>
          <w:rFonts w:cs="Arial"/>
        </w:rPr>
      </w:pPr>
    </w:p>
    <w:p w14:paraId="70CD128A" w14:textId="77777777" w:rsidR="00CE7B4A" w:rsidRDefault="00CE7B4A" w:rsidP="00CE7B4A">
      <w:pPr>
        <w:spacing w:after="120"/>
        <w:rPr>
          <w:rFonts w:cs="Arial"/>
        </w:rPr>
      </w:pPr>
      <w:r w:rsidRPr="00CA425F">
        <w:rPr>
          <w:rFonts w:cs="Arial"/>
          <w:b/>
        </w:rPr>
        <w:t>Disposition:</w:t>
      </w:r>
      <w:r w:rsidRPr="00F030B8">
        <w:rPr>
          <w:rFonts w:cs="Arial"/>
        </w:rPr>
        <w:t xml:space="preserve"> </w:t>
      </w:r>
    </w:p>
    <w:p w14:paraId="064D3558" w14:textId="77777777" w:rsidR="00CE7B4A" w:rsidRDefault="00CE7B4A" w:rsidP="00CE7B4A">
      <w:pPr>
        <w:spacing w:after="120"/>
        <w:rPr>
          <w:rFonts w:cs="Arial"/>
        </w:rPr>
      </w:pPr>
      <w:r w:rsidRPr="00F030B8">
        <w:rPr>
          <w:rFonts w:cs="Arial"/>
        </w:rPr>
        <w:t>The Court finds, after consideration of the health and safety of the child, the goal of the placement, and the services offered to the family and the child, that the goal of &lt;permanency plan&gt; is appropriate at this time.</w:t>
      </w:r>
    </w:p>
    <w:p w14:paraId="5B041229" w14:textId="77777777" w:rsidR="00CE7B4A" w:rsidRPr="00837967" w:rsidRDefault="00CE7B4A" w:rsidP="00CE7B4A">
      <w:pPr>
        <w:pStyle w:val="ListParagraph"/>
        <w:numPr>
          <w:ilvl w:val="0"/>
          <w:numId w:val="2"/>
        </w:numPr>
        <w:tabs>
          <w:tab w:val="clear" w:pos="1260"/>
        </w:tabs>
        <w:ind w:left="1080" w:hanging="720"/>
        <w:rPr>
          <w:rFonts w:cs="Arial"/>
        </w:rPr>
      </w:pPr>
      <w:r>
        <w:rPr>
          <w:rFonts w:cs="Arial"/>
        </w:rPr>
        <w:t>The Court finds that the concurrent plan on &lt;concurrent plan&gt; is appropriate.</w:t>
      </w:r>
    </w:p>
    <w:p w14:paraId="46399AA4" w14:textId="77777777" w:rsidR="00CE7B4A" w:rsidRDefault="00CE7B4A" w:rsidP="00CE7B4A">
      <w:pPr>
        <w:numPr>
          <w:ilvl w:val="0"/>
          <w:numId w:val="4"/>
        </w:numPr>
        <w:ind w:left="1080" w:hanging="720"/>
        <w:rPr>
          <w:rFonts w:cs="Arial"/>
        </w:rPr>
      </w:pPr>
      <w:r>
        <w:rPr>
          <w:rFonts w:cs="Arial"/>
        </w:rPr>
        <w:t>The Court finds that it is contrary to the child’s best interests to remain in the home based on the following: &lt;factual basis for this finding&gt;.</w:t>
      </w:r>
    </w:p>
    <w:p w14:paraId="2AEE6710" w14:textId="77777777" w:rsidR="00CE7B4A" w:rsidRDefault="00CE7B4A" w:rsidP="00CE7B4A">
      <w:pPr>
        <w:numPr>
          <w:ilvl w:val="0"/>
          <w:numId w:val="4"/>
        </w:numPr>
        <w:ind w:left="1080" w:hanging="720"/>
        <w:rPr>
          <w:rFonts w:cs="Arial"/>
        </w:rPr>
      </w:pPr>
      <w:r>
        <w:rPr>
          <w:rFonts w:cs="Arial"/>
        </w:rPr>
        <w:t>The Court determines that DCS is attempting to identify and assess placement of the child with the child’s grandparent or another member of the child’s extended family, including another person who has a significant relationship with the child.</w:t>
      </w:r>
    </w:p>
    <w:p w14:paraId="16F4905B" w14:textId="77777777" w:rsidR="00CE7B4A" w:rsidRPr="00F030B8" w:rsidRDefault="00CE7B4A" w:rsidP="00CE7B4A">
      <w:pPr>
        <w:numPr>
          <w:ilvl w:val="0"/>
          <w:numId w:val="4"/>
        </w:numPr>
        <w:ind w:left="1080" w:hanging="720"/>
        <w:rPr>
          <w:rFonts w:cs="Arial"/>
        </w:rPr>
      </w:pPr>
      <w:r>
        <w:t>DCS is attempting to identify and assess placement of the child with the child’s siblings if possible and in the child’s best interest.</w:t>
      </w:r>
    </w:p>
    <w:p w14:paraId="3F52A7BC" w14:textId="77777777" w:rsidR="00CE7B4A" w:rsidRDefault="00CE7B4A" w:rsidP="00CE7B4A">
      <w:pPr>
        <w:numPr>
          <w:ilvl w:val="0"/>
          <w:numId w:val="4"/>
        </w:numPr>
        <w:ind w:left="1080" w:hanging="720"/>
        <w:rPr>
          <w:rFonts w:cs="Arial"/>
        </w:rPr>
      </w:pPr>
      <w:r w:rsidRPr="00CA425F">
        <w:rPr>
          <w:rFonts w:cs="Arial"/>
          <w:b/>
        </w:rPr>
        <w:t>Reasonable Efforts:</w:t>
      </w:r>
      <w:r>
        <w:rPr>
          <w:rFonts w:cs="Arial"/>
        </w:rPr>
        <w:t xml:space="preserve"> The Court finds that reasonable efforts &lt;were/were not&gt; made to prevent the removal of &lt;child&gt; from the home and this finding is based upon the following facts: &lt;factual basis&gt;.</w:t>
      </w:r>
    </w:p>
    <w:p w14:paraId="60F9A55F" w14:textId="77777777" w:rsidR="00CE7B4A" w:rsidRDefault="00CE7B4A" w:rsidP="00CE7B4A">
      <w:pPr>
        <w:ind w:left="720"/>
        <w:rPr>
          <w:rFonts w:cs="Arial"/>
        </w:rPr>
      </w:pPr>
    </w:p>
    <w:p w14:paraId="644A11B0" w14:textId="77777777" w:rsidR="00CE7B4A" w:rsidRPr="0037218C" w:rsidRDefault="00CE7B4A" w:rsidP="00CE7B4A">
      <w:pPr>
        <w:rPr>
          <w:rFonts w:cs="Arial"/>
          <w:b/>
        </w:rPr>
      </w:pPr>
      <w:r>
        <w:rPr>
          <w:rFonts w:cs="Arial"/>
          <w:b/>
        </w:rPr>
        <w:t>ICWA:</w:t>
      </w:r>
    </w:p>
    <w:p w14:paraId="08958786" w14:textId="77777777" w:rsidR="00CE7B4A" w:rsidRPr="00DE5E6F" w:rsidRDefault="00CE7B4A" w:rsidP="00CE7B4A">
      <w:pPr>
        <w:numPr>
          <w:ilvl w:val="0"/>
          <w:numId w:val="1"/>
        </w:numPr>
        <w:tabs>
          <w:tab w:val="clear" w:pos="1440"/>
        </w:tabs>
        <w:ind w:left="1080" w:hanging="720"/>
        <w:rPr>
          <w:rFonts w:cs="Arial"/>
        </w:rPr>
      </w:pPr>
      <w:r>
        <w:rPr>
          <w:rFonts w:cs="Arial"/>
        </w:rPr>
        <w:t xml:space="preserve">The Court finds that active efforts have been made to provide remedial services and rehabilitative programs designed to prevent the breakup of the Indian family and that these efforts were unsuccessful.  The Court further finds, by clear and convincing evidence, including testimony from a qualified expert witness, that continued custody of the child by the parent or Indian custodian is likely to result in serious emotional or physical damage to the child.  </w:t>
      </w:r>
      <w:bookmarkStart w:id="28" w:name="dabmci_71234d70dc2d4e969a13468c84393561"/>
      <w:r>
        <w:rPr>
          <w:rStyle w:val="Hyperlink"/>
          <w:rFonts w:cs="Arial"/>
        </w:rPr>
        <w:fldChar w:fldCharType="begin"/>
      </w:r>
      <w:r>
        <w:rPr>
          <w:rStyle w:val="Hyperlink"/>
          <w:rFonts w:cs="Arial"/>
        </w:rPr>
        <w:instrText xml:space="preserve"> HYPERLINK "https://www.westlaw.com/Document/NB0E5AAB0A53911D88BD68431AAB79FF6/View/FullText.html?transitionType=Default&amp;contextData=(sc.Default)&amp;VR=3.0&amp;RS=da3.0"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§1912</w:t>
      </w:r>
      <w:r>
        <w:rPr>
          <w:rStyle w:val="Hyperlink"/>
          <w:rFonts w:cs="Arial"/>
        </w:rPr>
        <w:fldChar w:fldCharType="end"/>
      </w:r>
      <w:bookmarkStart w:id="29" w:name="dabmen_71234d70dc2d4e969a13468c84393561"/>
      <w:bookmarkEnd w:id="28"/>
      <w:bookmarkEnd w:id="29"/>
    </w:p>
    <w:p w14:paraId="6B7CD972" w14:textId="77777777" w:rsidR="00CE7B4A" w:rsidRPr="00DE5E6F" w:rsidRDefault="00CE7B4A" w:rsidP="00CE7B4A">
      <w:pPr>
        <w:numPr>
          <w:ilvl w:val="0"/>
          <w:numId w:val="1"/>
        </w:numPr>
        <w:tabs>
          <w:tab w:val="clear" w:pos="1440"/>
        </w:tabs>
        <w:ind w:left="1080" w:hanging="720"/>
        <w:rPr>
          <w:rFonts w:cs="Arial"/>
        </w:rPr>
      </w:pPr>
      <w:r>
        <w:rPr>
          <w:rFonts w:cs="Arial"/>
        </w:rPr>
        <w:t xml:space="preserve">The Court finds that the removal and placement of the child was necessary to prevent imminent physical emotional damage or harm. This finding is based on the following facts: &lt;factual basis&gt;.  </w:t>
      </w:r>
      <w:bookmarkStart w:id="30" w:name="dabmci_0601bd6b49a54e47a8f2e859a4a64d4f"/>
      <w:r>
        <w:rPr>
          <w:rFonts w:cs="Arial"/>
          <w:color w:val="0000FF"/>
          <w:u w:val="single"/>
        </w:rPr>
        <w:fldChar w:fldCharType="begin"/>
      </w:r>
      <w:r>
        <w:rPr>
          <w:rFonts w:cs="Arial"/>
          <w:color w:val="0000FF"/>
          <w:u w:val="single"/>
        </w:rPr>
        <w:instrText xml:space="preserve"> HYPERLINK "https://www.westlaw.com/Document/NB2C54020A53911D88BD68431AAB79FF6/View/FullText.html?transitionType=Default&amp;contextData=(sc.Default)&amp;VR=3.0&amp;RS=da3.0" </w:instrText>
      </w:r>
      <w:r>
        <w:rPr>
          <w:rFonts w:cs="Arial"/>
          <w:color w:val="0000FF"/>
          <w:u w:val="single"/>
        </w:rPr>
        <w:fldChar w:fldCharType="separate"/>
      </w:r>
      <w:r w:rsidRPr="0062504D">
        <w:rPr>
          <w:rFonts w:cs="Arial"/>
          <w:color w:val="0000FF"/>
          <w:u w:val="single"/>
        </w:rPr>
        <w:t>25 USC §1922</w:t>
      </w:r>
      <w:r>
        <w:rPr>
          <w:rFonts w:cs="Arial"/>
          <w:color w:val="0000FF"/>
          <w:u w:val="single"/>
        </w:rPr>
        <w:fldChar w:fldCharType="end"/>
      </w:r>
      <w:bookmarkStart w:id="31" w:name="dabmen_0601bd6b49a54e47a8f2e859a4a64d4f"/>
      <w:bookmarkEnd w:id="30"/>
      <w:bookmarkEnd w:id="31"/>
    </w:p>
    <w:p w14:paraId="2FAEEC57" w14:textId="77777777" w:rsidR="00CE7B4A" w:rsidRDefault="00CE7B4A" w:rsidP="00CE7B4A">
      <w:pPr>
        <w:numPr>
          <w:ilvl w:val="0"/>
          <w:numId w:val="1"/>
        </w:numPr>
        <w:tabs>
          <w:tab w:val="clear" w:pos="1440"/>
        </w:tabs>
        <w:ind w:left="1080" w:hanging="720"/>
        <w:rPr>
          <w:rFonts w:cs="Arial"/>
        </w:rPr>
      </w:pPr>
      <w:r>
        <w:rPr>
          <w:rFonts w:cs="Arial"/>
        </w:rPr>
        <w:lastRenderedPageBreak/>
        <w:t xml:space="preserve">The child was placed pursuant to the standards of ICWA.  </w:t>
      </w:r>
      <w:bookmarkStart w:id="32" w:name="dabmci_cc686e124ad441d1ae27edb952e60146"/>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§1915</w:t>
      </w:r>
      <w:r>
        <w:rPr>
          <w:rStyle w:val="Hyperlink"/>
          <w:rFonts w:cs="Arial"/>
        </w:rPr>
        <w:fldChar w:fldCharType="end"/>
      </w:r>
      <w:bookmarkStart w:id="33" w:name="dabmen_cc686e124ad441d1ae27edb952e60146"/>
      <w:bookmarkEnd w:id="32"/>
      <w:bookmarkEnd w:id="33"/>
    </w:p>
    <w:p w14:paraId="64AD9E3E" w14:textId="77777777" w:rsidR="00CE7B4A" w:rsidRDefault="00CE7B4A" w:rsidP="00CE7B4A">
      <w:pPr>
        <w:numPr>
          <w:ilvl w:val="0"/>
          <w:numId w:val="1"/>
        </w:numPr>
        <w:tabs>
          <w:tab w:val="clear" w:pos="1440"/>
        </w:tabs>
        <w:ind w:left="1080" w:hanging="720"/>
        <w:rPr>
          <w:rFonts w:cs="Arial"/>
        </w:rPr>
      </w:pPr>
      <w:r>
        <w:rPr>
          <w:rFonts w:cs="Arial"/>
        </w:rPr>
        <w:t>There was good cause to deviate from the requirement to place the child pursuant to ICWA: &lt;factor(s) considered, basis for good cause finding&gt;.</w:t>
      </w:r>
    </w:p>
    <w:p w14:paraId="739CAC27" w14:textId="77777777" w:rsidR="00CE7B4A" w:rsidRPr="00C75BE1" w:rsidRDefault="00CE7B4A" w:rsidP="00CE7B4A">
      <w:pPr>
        <w:rPr>
          <w:rFonts w:cs="Arial"/>
        </w:rPr>
      </w:pPr>
    </w:p>
    <w:p w14:paraId="5C854921" w14:textId="77777777" w:rsidR="00CE7B4A" w:rsidRPr="00E968CE" w:rsidRDefault="00CE7B4A" w:rsidP="00CE7B4A">
      <w:pPr>
        <w:rPr>
          <w:rFonts w:cs="Arial"/>
          <w:b/>
        </w:rPr>
      </w:pPr>
      <w:r>
        <w:rPr>
          <w:rFonts w:cs="Arial"/>
          <w:b/>
        </w:rPr>
        <w:t>ADDITIONAL ORDERS:</w:t>
      </w:r>
    </w:p>
    <w:p w14:paraId="005365A9" w14:textId="77777777" w:rsidR="00CE7B4A" w:rsidRPr="00D03004" w:rsidRDefault="00CE7B4A" w:rsidP="00CE7B4A">
      <w:pPr>
        <w:pStyle w:val="BodyText"/>
        <w:numPr>
          <w:ilvl w:val="0"/>
          <w:numId w:val="7"/>
        </w:numPr>
        <w:ind w:left="1080" w:hanging="720"/>
        <w:rPr>
          <w:rFonts w:cs="Arial"/>
          <w:iCs/>
        </w:rPr>
      </w:pPr>
      <w:r w:rsidRPr="00D03004">
        <w:rPr>
          <w:rFonts w:cs="Arial"/>
          <w:iCs/>
        </w:rPr>
        <w:t>The Court finds that DCS &lt;has/has not&gt; arranged for the assembly of the medical records for the child, a medical assessment of the child, the implementation of referrals and the communication of recommendations and results, as provided by law.</w:t>
      </w:r>
    </w:p>
    <w:p w14:paraId="1A6FC2BD" w14:textId="77777777" w:rsidR="00CE7B4A" w:rsidRDefault="00CE7B4A" w:rsidP="00CE7B4A">
      <w:pPr>
        <w:numPr>
          <w:ilvl w:val="0"/>
          <w:numId w:val="4"/>
        </w:numPr>
        <w:ind w:left="1080" w:hanging="720"/>
        <w:rPr>
          <w:rFonts w:cs="Arial"/>
        </w:rPr>
      </w:pPr>
      <w:r>
        <w:rPr>
          <w:rFonts w:cs="Arial"/>
        </w:rPr>
        <w:t>The Court orders notification to the foster parents, pre-adoptive parents or a member of the child’s extended family with whom the child has been placed be effectuated by &lt;responsible party or manner by which notice to be provided&gt;.</w:t>
      </w:r>
    </w:p>
    <w:p w14:paraId="4C8E84EF" w14:textId="77777777" w:rsidR="00CE7B4A" w:rsidRDefault="00CE7B4A" w:rsidP="00CE7B4A">
      <w:pPr>
        <w:numPr>
          <w:ilvl w:val="0"/>
          <w:numId w:val="4"/>
        </w:numPr>
        <w:ind w:left="1080" w:hanging="720"/>
        <w:rPr>
          <w:rFonts w:cs="Arial"/>
        </w:rPr>
      </w:pPr>
      <w:r>
        <w:rPr>
          <w:rFonts w:cs="Arial"/>
        </w:rPr>
        <w:t>The Court finds that the child has been advised of and understands his/her right to attend court hearings and speak to the judge.</w:t>
      </w:r>
    </w:p>
    <w:p w14:paraId="128E967B" w14:textId="77777777" w:rsidR="00CE7B4A" w:rsidRDefault="00CE7B4A" w:rsidP="00CE7B4A">
      <w:pPr>
        <w:numPr>
          <w:ilvl w:val="0"/>
          <w:numId w:val="4"/>
        </w:numPr>
        <w:ind w:left="1080" w:hanging="720"/>
        <w:rPr>
          <w:rFonts w:cs="Arial"/>
        </w:rPr>
      </w:pPr>
      <w:r>
        <w:rPr>
          <w:rFonts w:cs="Arial"/>
        </w:rPr>
        <w:t xml:space="preserve">The Court orders the parent or guardian to provide the Court the names, type of relationship and all available information necessary to locate persons related to or who have a significant relationship with the child unless the parent or guardian informs the Court that there is not sufficient information available to locate a person with a significant relationship with the child.  </w:t>
      </w:r>
    </w:p>
    <w:p w14:paraId="032FA795" w14:textId="77777777" w:rsidR="00CE7B4A" w:rsidRDefault="00CE7B4A" w:rsidP="00CE7B4A">
      <w:pPr>
        <w:numPr>
          <w:ilvl w:val="0"/>
          <w:numId w:val="4"/>
        </w:numPr>
        <w:ind w:left="1080" w:hanging="720"/>
        <w:rPr>
          <w:rFonts w:cs="Arial"/>
        </w:rPr>
      </w:pPr>
      <w:r>
        <w:rPr>
          <w:rFonts w:cs="Arial"/>
        </w:rPr>
        <w:t>The Court orders the parent or guardian to inform DCS immediately of new information related to the existence or location of a relative or person with a significant relationship to the child.</w:t>
      </w:r>
    </w:p>
    <w:p w14:paraId="563CA9C3" w14:textId="77777777" w:rsidR="00CE7B4A" w:rsidRDefault="00CE7B4A" w:rsidP="00CE7B4A">
      <w:pPr>
        <w:numPr>
          <w:ilvl w:val="0"/>
          <w:numId w:val="4"/>
        </w:numPr>
        <w:ind w:left="1080" w:hanging="720"/>
        <w:rPr>
          <w:rFonts w:cs="Arial"/>
        </w:rPr>
      </w:pPr>
      <w:r>
        <w:rPr>
          <w:rFonts w:cs="Arial"/>
        </w:rPr>
        <w:t>The Court orders the parties to inform the Court if they obtain information that the child is an Indian child as defined by ICWA.</w:t>
      </w:r>
    </w:p>
    <w:p w14:paraId="7049853E" w14:textId="77777777" w:rsidR="00CE7B4A" w:rsidRDefault="00CE7B4A" w:rsidP="00CE7B4A">
      <w:pPr>
        <w:rPr>
          <w:rFonts w:cs="Arial"/>
          <w:b/>
        </w:rPr>
      </w:pPr>
    </w:p>
    <w:p w14:paraId="4F897F7A" w14:textId="77777777" w:rsidR="00CE7B4A" w:rsidRDefault="00CE7B4A" w:rsidP="00CE7B4A">
      <w:pPr>
        <w:spacing w:after="120"/>
        <w:rPr>
          <w:rFonts w:cs="Arial"/>
        </w:rPr>
      </w:pPr>
      <w:r w:rsidRPr="00CA425F">
        <w:rPr>
          <w:rFonts w:cs="Arial"/>
          <w:b/>
        </w:rPr>
        <w:t>Future Hearings:</w:t>
      </w:r>
      <w:r w:rsidRPr="00F030B8">
        <w:rPr>
          <w:rFonts w:cs="Arial"/>
        </w:rPr>
        <w:t xml:space="preserve"> </w:t>
      </w:r>
    </w:p>
    <w:p w14:paraId="68EC5125" w14:textId="77777777" w:rsidR="00CE7B4A" w:rsidRPr="00F030B8" w:rsidRDefault="00CE7B4A" w:rsidP="00CE7B4A">
      <w:pPr>
        <w:rPr>
          <w:rFonts w:cs="Arial"/>
        </w:rPr>
      </w:pPr>
      <w:r w:rsidRPr="00F030B8">
        <w:rPr>
          <w:rFonts w:cs="Arial"/>
        </w:rPr>
        <w:t>The Court sets/affirms the following hearings:</w:t>
      </w:r>
    </w:p>
    <w:p w14:paraId="4CF1F2E0" w14:textId="77777777" w:rsidR="00CE7B4A" w:rsidRPr="00685CC8" w:rsidRDefault="00CE7B4A" w:rsidP="00CE7B4A">
      <w:pPr>
        <w:numPr>
          <w:ilvl w:val="0"/>
          <w:numId w:val="4"/>
        </w:numPr>
        <w:tabs>
          <w:tab w:val="clear" w:pos="1440"/>
        </w:tabs>
        <w:ind w:left="1080" w:hanging="720"/>
        <w:rPr>
          <w:rFonts w:cs="Arial"/>
        </w:rPr>
      </w:pPr>
      <w:r w:rsidRPr="00F030B8">
        <w:rPr>
          <w:rFonts w:cs="Arial"/>
        </w:rPr>
        <w:t>The &lt;Hearing type&gt; Hearing as to &lt;parent, guardian or Indian custodian&gt; is set for &lt;date, time and location of this hearing&gt;.</w:t>
      </w:r>
    </w:p>
    <w:p w14:paraId="78FF4D91" w14:textId="77777777" w:rsidR="00CE7B4A" w:rsidRDefault="00CE7B4A" w:rsidP="00CE7B4A">
      <w:pPr>
        <w:numPr>
          <w:ilvl w:val="0"/>
          <w:numId w:val="4"/>
        </w:numPr>
        <w:tabs>
          <w:tab w:val="clear" w:pos="1440"/>
        </w:tabs>
        <w:ind w:left="1080" w:hanging="720"/>
        <w:rPr>
          <w:rFonts w:cs="Arial"/>
        </w:rPr>
      </w:pPr>
      <w:r w:rsidRPr="00F030B8">
        <w:rPr>
          <w:rFonts w:cs="Arial"/>
        </w:rPr>
        <w:t>The Court vacates the &lt;hearing type&gt; Hearing set for &lt;date, time and location of this hearing&gt;.</w:t>
      </w:r>
    </w:p>
    <w:p w14:paraId="754FBDD7" w14:textId="77777777" w:rsidR="00CE7B4A" w:rsidRDefault="00CE7B4A" w:rsidP="00CE7B4A">
      <w:pPr>
        <w:rPr>
          <w:rFonts w:cs="Arial"/>
        </w:rPr>
      </w:pPr>
    </w:p>
    <w:p w14:paraId="0F32DF37" w14:textId="77777777" w:rsidR="00CE7B4A" w:rsidRPr="0037218C" w:rsidRDefault="00CE7B4A" w:rsidP="00CE7B4A">
      <w:pPr>
        <w:rPr>
          <w:rFonts w:cs="Arial"/>
          <w:b/>
        </w:rPr>
      </w:pPr>
      <w:r w:rsidRPr="0037218C">
        <w:rPr>
          <w:rFonts w:cs="Arial"/>
          <w:b/>
        </w:rPr>
        <w:t>Admonitions:</w:t>
      </w:r>
    </w:p>
    <w:p w14:paraId="2DA9E912" w14:textId="77777777" w:rsidR="00CE7B4A" w:rsidRPr="00DE5E6F" w:rsidRDefault="00CE7B4A" w:rsidP="00CE7B4A">
      <w:pPr>
        <w:numPr>
          <w:ilvl w:val="0"/>
          <w:numId w:val="4"/>
        </w:numPr>
        <w:tabs>
          <w:tab w:val="clear" w:pos="1440"/>
        </w:tabs>
        <w:ind w:left="1080" w:hanging="720"/>
        <w:rPr>
          <w:rFonts w:cs="Arial"/>
        </w:rPr>
      </w:pPr>
      <w:r w:rsidRPr="00F030B8">
        <w:rPr>
          <w:rFonts w:cs="Arial"/>
        </w:rPr>
        <w:t>The Court orders that &lt;the names of all applicable parties, counsel and professionals who should be attending mediation&gt; attend Mediation set for &lt;date, time and location of mediation&gt;.</w:t>
      </w:r>
    </w:p>
    <w:p w14:paraId="6A5F11D5" w14:textId="77777777" w:rsidR="00CE7B4A" w:rsidRPr="00DE5E6F" w:rsidRDefault="00CE7B4A" w:rsidP="00CE7B4A">
      <w:pPr>
        <w:numPr>
          <w:ilvl w:val="0"/>
          <w:numId w:val="4"/>
        </w:numPr>
        <w:tabs>
          <w:tab w:val="clear" w:pos="1440"/>
        </w:tabs>
        <w:ind w:left="1080" w:hanging="720"/>
        <w:rPr>
          <w:rFonts w:cs="Arial"/>
        </w:rPr>
      </w:pPr>
      <w:r w:rsidRPr="00F030B8">
        <w:rPr>
          <w:rFonts w:cs="Arial"/>
        </w:rPr>
        <w:lastRenderedPageBreak/>
        <w:t>The Court admonishes the &lt;parent, guardian or Indian custodian&gt; that:</w:t>
      </w:r>
    </w:p>
    <w:p w14:paraId="5C3BFE5B" w14:textId="77777777" w:rsidR="00CE7B4A" w:rsidRPr="00CA425F" w:rsidRDefault="00CE7B4A" w:rsidP="00CE7B4A">
      <w:pPr>
        <w:numPr>
          <w:ilvl w:val="0"/>
          <w:numId w:val="3"/>
        </w:numPr>
        <w:tabs>
          <w:tab w:val="clear" w:pos="1800"/>
        </w:tabs>
        <w:ind w:left="1440"/>
        <w:rPr>
          <w:rFonts w:cs="Arial"/>
        </w:rPr>
      </w:pPr>
      <w:r w:rsidRPr="00F030B8">
        <w:rPr>
          <w:rFonts w:cs="Arial"/>
        </w:rPr>
        <w:t>Failure to attend future hearings without good cause shown may result in a finding that they have waived their legal rights and are deemed to have admitted the allegation(s) in the petition.</w:t>
      </w:r>
    </w:p>
    <w:p w14:paraId="0499CB12" w14:textId="77777777" w:rsidR="00CE7B4A" w:rsidRDefault="00CE7B4A" w:rsidP="00CE7B4A">
      <w:pPr>
        <w:numPr>
          <w:ilvl w:val="0"/>
          <w:numId w:val="3"/>
        </w:numPr>
        <w:tabs>
          <w:tab w:val="clear" w:pos="1800"/>
          <w:tab w:val="num" w:pos="2160"/>
        </w:tabs>
        <w:ind w:left="1440"/>
        <w:rPr>
          <w:rFonts w:cs="Arial"/>
        </w:rPr>
      </w:pPr>
      <w:r w:rsidRPr="00F030B8">
        <w:rPr>
          <w:rFonts w:cs="Arial"/>
        </w:rPr>
        <w:t>The hearing may go forward in their absence and may result in a finding of dependency.</w:t>
      </w:r>
    </w:p>
    <w:p w14:paraId="1B101522" w14:textId="77777777" w:rsidR="00CE7B4A" w:rsidRPr="0037218C" w:rsidRDefault="00CE7B4A" w:rsidP="00CE7B4A">
      <w:pPr>
        <w:numPr>
          <w:ilvl w:val="0"/>
          <w:numId w:val="3"/>
        </w:numPr>
        <w:tabs>
          <w:tab w:val="clear" w:pos="1800"/>
          <w:tab w:val="num" w:pos="2160"/>
        </w:tabs>
        <w:ind w:left="1440"/>
        <w:rPr>
          <w:rFonts w:cs="Arial"/>
        </w:rPr>
      </w:pPr>
      <w:r w:rsidRPr="0037218C">
        <w:rPr>
          <w:rFonts w:cs="Arial"/>
        </w:rPr>
        <w:t xml:space="preserve">Failure to participate in reunification services may result in the            termination of their parental rights or the establishment of a permanent guardianship </w:t>
      </w:r>
    </w:p>
    <w:p w14:paraId="5307778B" w14:textId="77777777" w:rsidR="00CE7B4A" w:rsidRDefault="00CE7B4A" w:rsidP="00CE7B4A">
      <w:pPr>
        <w:numPr>
          <w:ilvl w:val="0"/>
          <w:numId w:val="4"/>
        </w:numPr>
        <w:tabs>
          <w:tab w:val="clear" w:pos="1440"/>
        </w:tabs>
        <w:ind w:left="1080" w:hanging="720"/>
        <w:rPr>
          <w:rFonts w:cs="Arial"/>
        </w:rPr>
      </w:pPr>
      <w:r w:rsidRPr="00F030B8">
        <w:rPr>
          <w:rFonts w:cs="Arial"/>
        </w:rPr>
        <w:t>The Court finds that the parent, guardian, or Indian custodian was advised of the consequences of their failure to attend future hearings or participate in reunification services.</w:t>
      </w:r>
    </w:p>
    <w:p w14:paraId="6081E031" w14:textId="77777777" w:rsidR="00CE7B4A" w:rsidRDefault="00CE7B4A" w:rsidP="00CE7B4A">
      <w:pPr>
        <w:numPr>
          <w:ilvl w:val="0"/>
          <w:numId w:val="4"/>
        </w:numPr>
        <w:tabs>
          <w:tab w:val="clear" w:pos="1440"/>
        </w:tabs>
        <w:ind w:left="1080" w:hanging="720"/>
        <w:rPr>
          <w:rFonts w:cs="Arial"/>
        </w:rPr>
      </w:pPr>
      <w:r>
        <w:rPr>
          <w:rFonts w:cs="Arial"/>
        </w:rPr>
        <w:t>The Court read to and provided the parent a copy of Form 1.</w:t>
      </w:r>
    </w:p>
    <w:p w14:paraId="7182A9B0" w14:textId="77777777" w:rsidR="00CE7B4A" w:rsidRDefault="00CE7B4A" w:rsidP="00CE7B4A">
      <w:pPr>
        <w:ind w:left="720"/>
        <w:rPr>
          <w:rFonts w:cs="Arial"/>
        </w:rPr>
      </w:pPr>
    </w:p>
    <w:p w14:paraId="3CB4C8BD" w14:textId="77777777" w:rsidR="00CE7B4A" w:rsidRPr="00F030B8" w:rsidRDefault="00CE7B4A" w:rsidP="00CE7B4A">
      <w:pPr>
        <w:rPr>
          <w:rFonts w:cs="Arial"/>
        </w:rPr>
      </w:pPr>
      <w:r w:rsidRPr="00F030B8">
        <w:rPr>
          <w:rFonts w:cs="Arial"/>
        </w:rPr>
        <w:t>Dated: ____________________________________</w:t>
      </w:r>
    </w:p>
    <w:p w14:paraId="7E85C19D" w14:textId="77777777" w:rsidR="00CE7B4A" w:rsidRDefault="00CE7B4A" w:rsidP="00CE7B4A">
      <w:pPr>
        <w:ind w:left="720"/>
        <w:rPr>
          <w:rFonts w:cs="Arial"/>
        </w:rPr>
      </w:pPr>
    </w:p>
    <w:p w14:paraId="6C61A4C2" w14:textId="77777777" w:rsidR="00CE7B4A" w:rsidRDefault="00CE7B4A" w:rsidP="00CE7B4A">
      <w:pPr>
        <w:ind w:left="720"/>
        <w:rPr>
          <w:rFonts w:cs="Arial"/>
        </w:rPr>
      </w:pPr>
      <w:r>
        <w:rPr>
          <w:rFonts w:cs="Arial"/>
        </w:rPr>
        <w:t>___________________________________________________________</w:t>
      </w:r>
    </w:p>
    <w:p w14:paraId="78FAA913" w14:textId="77777777" w:rsidR="00CE7B4A" w:rsidRPr="00F030B8" w:rsidRDefault="00CE7B4A" w:rsidP="00CE7B4A">
      <w:pPr>
        <w:ind w:left="720"/>
        <w:rPr>
          <w:rFonts w:cs="Arial"/>
        </w:rPr>
      </w:pPr>
      <w:r w:rsidRPr="00F030B8">
        <w:rPr>
          <w:rFonts w:cs="Arial"/>
        </w:rPr>
        <w:t>&lt;Judge/Commissioner/Hearing Officer&gt; of the Superior Court</w:t>
      </w:r>
    </w:p>
    <w:p w14:paraId="43352ED2" w14:textId="77777777" w:rsidR="00FC72C9" w:rsidRDefault="00FC72C9" w:rsidP="00CE7B4A">
      <w:bookmarkStart w:id="34" w:name="_GoBack"/>
      <w:bookmarkEnd w:id="34"/>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0201"/>
    <w:multiLevelType w:val="hybridMultilevel"/>
    <w:tmpl w:val="9500A5A4"/>
    <w:lvl w:ilvl="0" w:tplc="6E74FBF0">
      <w:start w:val="1"/>
      <w:numFmt w:val="bullet"/>
      <w:lvlText w:val=""/>
      <w:lvlJc w:val="left"/>
      <w:pPr>
        <w:tabs>
          <w:tab w:val="num" w:pos="1800"/>
        </w:tabs>
        <w:ind w:left="1800" w:hanging="360"/>
      </w:pPr>
      <w:rPr>
        <w:rFonts w:ascii="Symbol" w:hAnsi="Symbol" w:hint="default"/>
        <w:b w:val="0"/>
        <w:i w:val="0"/>
        <w:sz w:val="20"/>
        <w:szCs w:val="20"/>
      </w:rPr>
    </w:lvl>
    <w:lvl w:ilvl="1" w:tplc="B0E61B06">
      <w:start w:val="1"/>
      <w:numFmt w:val="lowerLetter"/>
      <w:lvlText w:val="%2."/>
      <w:lvlJc w:val="left"/>
      <w:pPr>
        <w:tabs>
          <w:tab w:val="num" w:pos="900"/>
        </w:tabs>
        <w:ind w:left="900" w:hanging="360"/>
      </w:pPr>
    </w:lvl>
    <w:lvl w:ilvl="2" w:tplc="390ABC92">
      <w:start w:val="1"/>
      <w:numFmt w:val="lowerRoman"/>
      <w:lvlText w:val="%3."/>
      <w:lvlJc w:val="right"/>
      <w:pPr>
        <w:tabs>
          <w:tab w:val="num" w:pos="1620"/>
        </w:tabs>
        <w:ind w:left="1620" w:hanging="180"/>
      </w:pPr>
    </w:lvl>
    <w:lvl w:ilvl="3" w:tplc="A1B2CB84">
      <w:start w:val="1"/>
      <w:numFmt w:val="decimal"/>
      <w:lvlText w:val="%4."/>
      <w:lvlJc w:val="left"/>
      <w:pPr>
        <w:tabs>
          <w:tab w:val="num" w:pos="2340"/>
        </w:tabs>
        <w:ind w:left="2340" w:hanging="360"/>
      </w:pPr>
      <w:rPr>
        <w:rFonts w:hint="default"/>
      </w:rPr>
    </w:lvl>
    <w:lvl w:ilvl="4" w:tplc="44CC9980" w:tentative="1">
      <w:start w:val="1"/>
      <w:numFmt w:val="lowerLetter"/>
      <w:lvlText w:val="%5."/>
      <w:lvlJc w:val="left"/>
      <w:pPr>
        <w:tabs>
          <w:tab w:val="num" w:pos="3060"/>
        </w:tabs>
        <w:ind w:left="3060" w:hanging="360"/>
      </w:pPr>
    </w:lvl>
    <w:lvl w:ilvl="5" w:tplc="529EC8A6" w:tentative="1">
      <w:start w:val="1"/>
      <w:numFmt w:val="lowerRoman"/>
      <w:lvlText w:val="%6."/>
      <w:lvlJc w:val="right"/>
      <w:pPr>
        <w:tabs>
          <w:tab w:val="num" w:pos="3780"/>
        </w:tabs>
        <w:ind w:left="3780" w:hanging="180"/>
      </w:pPr>
    </w:lvl>
    <w:lvl w:ilvl="6" w:tplc="1596A384" w:tentative="1">
      <w:start w:val="1"/>
      <w:numFmt w:val="decimal"/>
      <w:lvlText w:val="%7."/>
      <w:lvlJc w:val="left"/>
      <w:pPr>
        <w:tabs>
          <w:tab w:val="num" w:pos="4500"/>
        </w:tabs>
        <w:ind w:left="4500" w:hanging="360"/>
      </w:pPr>
    </w:lvl>
    <w:lvl w:ilvl="7" w:tplc="95F66606" w:tentative="1">
      <w:start w:val="1"/>
      <w:numFmt w:val="lowerLetter"/>
      <w:lvlText w:val="%8."/>
      <w:lvlJc w:val="left"/>
      <w:pPr>
        <w:tabs>
          <w:tab w:val="num" w:pos="5220"/>
        </w:tabs>
        <w:ind w:left="5220" w:hanging="360"/>
      </w:pPr>
    </w:lvl>
    <w:lvl w:ilvl="8" w:tplc="6D92F22C" w:tentative="1">
      <w:start w:val="1"/>
      <w:numFmt w:val="lowerRoman"/>
      <w:lvlText w:val="%9."/>
      <w:lvlJc w:val="right"/>
      <w:pPr>
        <w:tabs>
          <w:tab w:val="num" w:pos="5940"/>
        </w:tabs>
        <w:ind w:left="5940" w:hanging="180"/>
      </w:pPr>
    </w:lvl>
  </w:abstractNum>
  <w:abstractNum w:abstractNumId="1"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39C501C0"/>
    <w:multiLevelType w:val="hybridMultilevel"/>
    <w:tmpl w:val="08D66054"/>
    <w:lvl w:ilvl="0" w:tplc="7DB6566A">
      <w:start w:val="1"/>
      <w:numFmt w:val="bullet"/>
      <w:lvlText w:val="□"/>
      <w:lvlJc w:val="left"/>
      <w:pPr>
        <w:ind w:left="720" w:hanging="360"/>
      </w:pPr>
      <w:rPr>
        <w:rFonts w:ascii="Arial" w:hAnsi="Arial" w:hint="default"/>
        <w:sz w:val="48"/>
      </w:rPr>
    </w:lvl>
    <w:lvl w:ilvl="1" w:tplc="8D66262E" w:tentative="1">
      <w:start w:val="1"/>
      <w:numFmt w:val="bullet"/>
      <w:lvlText w:val="o"/>
      <w:lvlJc w:val="left"/>
      <w:pPr>
        <w:ind w:left="1440" w:hanging="360"/>
      </w:pPr>
      <w:rPr>
        <w:rFonts w:ascii="Courier New" w:hAnsi="Courier New" w:cs="Courier New" w:hint="default"/>
      </w:rPr>
    </w:lvl>
    <w:lvl w:ilvl="2" w:tplc="04406BD0" w:tentative="1">
      <w:start w:val="1"/>
      <w:numFmt w:val="bullet"/>
      <w:lvlText w:val=""/>
      <w:lvlJc w:val="left"/>
      <w:pPr>
        <w:ind w:left="2160" w:hanging="360"/>
      </w:pPr>
      <w:rPr>
        <w:rFonts w:ascii="Wingdings" w:hAnsi="Wingdings" w:hint="default"/>
      </w:rPr>
    </w:lvl>
    <w:lvl w:ilvl="3" w:tplc="A73C2D38" w:tentative="1">
      <w:start w:val="1"/>
      <w:numFmt w:val="bullet"/>
      <w:lvlText w:val=""/>
      <w:lvlJc w:val="left"/>
      <w:pPr>
        <w:ind w:left="2880" w:hanging="360"/>
      </w:pPr>
      <w:rPr>
        <w:rFonts w:ascii="Symbol" w:hAnsi="Symbol" w:hint="default"/>
      </w:rPr>
    </w:lvl>
    <w:lvl w:ilvl="4" w:tplc="17C2CF24" w:tentative="1">
      <w:start w:val="1"/>
      <w:numFmt w:val="bullet"/>
      <w:lvlText w:val="o"/>
      <w:lvlJc w:val="left"/>
      <w:pPr>
        <w:ind w:left="3600" w:hanging="360"/>
      </w:pPr>
      <w:rPr>
        <w:rFonts w:ascii="Courier New" w:hAnsi="Courier New" w:cs="Courier New" w:hint="default"/>
      </w:rPr>
    </w:lvl>
    <w:lvl w:ilvl="5" w:tplc="2ABE3E46" w:tentative="1">
      <w:start w:val="1"/>
      <w:numFmt w:val="bullet"/>
      <w:lvlText w:val=""/>
      <w:lvlJc w:val="left"/>
      <w:pPr>
        <w:ind w:left="4320" w:hanging="360"/>
      </w:pPr>
      <w:rPr>
        <w:rFonts w:ascii="Wingdings" w:hAnsi="Wingdings" w:hint="default"/>
      </w:rPr>
    </w:lvl>
    <w:lvl w:ilvl="6" w:tplc="88EAFBB0" w:tentative="1">
      <w:start w:val="1"/>
      <w:numFmt w:val="bullet"/>
      <w:lvlText w:val=""/>
      <w:lvlJc w:val="left"/>
      <w:pPr>
        <w:ind w:left="5040" w:hanging="360"/>
      </w:pPr>
      <w:rPr>
        <w:rFonts w:ascii="Symbol" w:hAnsi="Symbol" w:hint="default"/>
      </w:rPr>
    </w:lvl>
    <w:lvl w:ilvl="7" w:tplc="3C1442E0" w:tentative="1">
      <w:start w:val="1"/>
      <w:numFmt w:val="bullet"/>
      <w:lvlText w:val="o"/>
      <w:lvlJc w:val="left"/>
      <w:pPr>
        <w:ind w:left="5760" w:hanging="360"/>
      </w:pPr>
      <w:rPr>
        <w:rFonts w:ascii="Courier New" w:hAnsi="Courier New" w:cs="Courier New" w:hint="default"/>
      </w:rPr>
    </w:lvl>
    <w:lvl w:ilvl="8" w:tplc="E012A4FE" w:tentative="1">
      <w:start w:val="1"/>
      <w:numFmt w:val="bullet"/>
      <w:lvlText w:val=""/>
      <w:lvlJc w:val="left"/>
      <w:pPr>
        <w:ind w:left="6480" w:hanging="360"/>
      </w:pPr>
      <w:rPr>
        <w:rFonts w:ascii="Wingdings" w:hAnsi="Wingdings" w:hint="default"/>
      </w:rPr>
    </w:lvl>
  </w:abstractNum>
  <w:abstractNum w:abstractNumId="3" w15:restartNumberingAfterBreak="0">
    <w:nsid w:val="4E5A1742"/>
    <w:multiLevelType w:val="hybridMultilevel"/>
    <w:tmpl w:val="A9B654A2"/>
    <w:lvl w:ilvl="0" w:tplc="36BA0962">
      <w:start w:val="1"/>
      <w:numFmt w:val="decimal"/>
      <w:lvlText w:val="%1."/>
      <w:lvlJc w:val="left"/>
      <w:pPr>
        <w:tabs>
          <w:tab w:val="num" w:pos="720"/>
        </w:tabs>
        <w:ind w:left="720" w:hanging="360"/>
      </w:pPr>
      <w:rPr>
        <w:rFonts w:hint="default"/>
      </w:rPr>
    </w:lvl>
    <w:lvl w:ilvl="1" w:tplc="435C9C9A">
      <w:start w:val="1"/>
      <w:numFmt w:val="lowerLetter"/>
      <w:lvlText w:val="%2."/>
      <w:lvlJc w:val="left"/>
      <w:pPr>
        <w:tabs>
          <w:tab w:val="num" w:pos="1440"/>
        </w:tabs>
        <w:ind w:left="1440" w:hanging="360"/>
      </w:pPr>
    </w:lvl>
    <w:lvl w:ilvl="2" w:tplc="4FD05AE6" w:tentative="1">
      <w:start w:val="1"/>
      <w:numFmt w:val="lowerRoman"/>
      <w:lvlText w:val="%3."/>
      <w:lvlJc w:val="right"/>
      <w:pPr>
        <w:tabs>
          <w:tab w:val="num" w:pos="2160"/>
        </w:tabs>
        <w:ind w:left="2160" w:hanging="180"/>
      </w:pPr>
    </w:lvl>
    <w:lvl w:ilvl="3" w:tplc="83D6467C" w:tentative="1">
      <w:start w:val="1"/>
      <w:numFmt w:val="decimal"/>
      <w:lvlText w:val="%4."/>
      <w:lvlJc w:val="left"/>
      <w:pPr>
        <w:tabs>
          <w:tab w:val="num" w:pos="2880"/>
        </w:tabs>
        <w:ind w:left="2880" w:hanging="360"/>
      </w:pPr>
    </w:lvl>
    <w:lvl w:ilvl="4" w:tplc="8B64E7CE" w:tentative="1">
      <w:start w:val="1"/>
      <w:numFmt w:val="lowerLetter"/>
      <w:lvlText w:val="%5."/>
      <w:lvlJc w:val="left"/>
      <w:pPr>
        <w:tabs>
          <w:tab w:val="num" w:pos="3600"/>
        </w:tabs>
        <w:ind w:left="3600" w:hanging="360"/>
      </w:pPr>
    </w:lvl>
    <w:lvl w:ilvl="5" w:tplc="7016781A" w:tentative="1">
      <w:start w:val="1"/>
      <w:numFmt w:val="lowerRoman"/>
      <w:lvlText w:val="%6."/>
      <w:lvlJc w:val="right"/>
      <w:pPr>
        <w:tabs>
          <w:tab w:val="num" w:pos="4320"/>
        </w:tabs>
        <w:ind w:left="4320" w:hanging="180"/>
      </w:pPr>
    </w:lvl>
    <w:lvl w:ilvl="6" w:tplc="ED1841E6" w:tentative="1">
      <w:start w:val="1"/>
      <w:numFmt w:val="decimal"/>
      <w:lvlText w:val="%7."/>
      <w:lvlJc w:val="left"/>
      <w:pPr>
        <w:tabs>
          <w:tab w:val="num" w:pos="5040"/>
        </w:tabs>
        <w:ind w:left="5040" w:hanging="360"/>
      </w:pPr>
    </w:lvl>
    <w:lvl w:ilvl="7" w:tplc="99AAAD2C" w:tentative="1">
      <w:start w:val="1"/>
      <w:numFmt w:val="lowerLetter"/>
      <w:lvlText w:val="%8."/>
      <w:lvlJc w:val="left"/>
      <w:pPr>
        <w:tabs>
          <w:tab w:val="num" w:pos="5760"/>
        </w:tabs>
        <w:ind w:left="5760" w:hanging="360"/>
      </w:pPr>
    </w:lvl>
    <w:lvl w:ilvl="8" w:tplc="F5C2CE2E" w:tentative="1">
      <w:start w:val="1"/>
      <w:numFmt w:val="lowerRoman"/>
      <w:lvlText w:val="%9."/>
      <w:lvlJc w:val="right"/>
      <w:pPr>
        <w:tabs>
          <w:tab w:val="num" w:pos="6480"/>
        </w:tabs>
        <w:ind w:left="6480" w:hanging="180"/>
      </w:pPr>
    </w:lvl>
  </w:abstractNum>
  <w:abstractNum w:abstractNumId="4"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5" w15:restartNumberingAfterBreak="0">
    <w:nsid w:val="513C4338"/>
    <w:multiLevelType w:val="hybridMultilevel"/>
    <w:tmpl w:val="F83802A6"/>
    <w:lvl w:ilvl="0" w:tplc="3AB0F8C8">
      <w:start w:val="1"/>
      <w:numFmt w:val="bullet"/>
      <w:lvlText w:val=""/>
      <w:lvlJc w:val="left"/>
      <w:pPr>
        <w:ind w:left="720" w:hanging="360"/>
      </w:pPr>
      <w:rPr>
        <w:rFonts w:ascii="Wingdings" w:hAnsi="Wingdings" w:hint="default"/>
        <w:b w:val="0"/>
        <w:i w:val="0"/>
        <w:sz w:val="32"/>
        <w:szCs w:val="32"/>
      </w:rPr>
    </w:lvl>
    <w:lvl w:ilvl="1" w:tplc="D3E4736E" w:tentative="1">
      <w:start w:val="1"/>
      <w:numFmt w:val="bullet"/>
      <w:lvlText w:val="o"/>
      <w:lvlJc w:val="left"/>
      <w:pPr>
        <w:ind w:left="1440" w:hanging="360"/>
      </w:pPr>
      <w:rPr>
        <w:rFonts w:ascii="Courier New" w:hAnsi="Courier New" w:cs="Courier New" w:hint="default"/>
      </w:rPr>
    </w:lvl>
    <w:lvl w:ilvl="2" w:tplc="DFD0CCAC" w:tentative="1">
      <w:start w:val="1"/>
      <w:numFmt w:val="bullet"/>
      <w:lvlText w:val=""/>
      <w:lvlJc w:val="left"/>
      <w:pPr>
        <w:ind w:left="2160" w:hanging="360"/>
      </w:pPr>
      <w:rPr>
        <w:rFonts w:ascii="Wingdings" w:hAnsi="Wingdings" w:hint="default"/>
      </w:rPr>
    </w:lvl>
    <w:lvl w:ilvl="3" w:tplc="80BE5CBA" w:tentative="1">
      <w:start w:val="1"/>
      <w:numFmt w:val="bullet"/>
      <w:lvlText w:val=""/>
      <w:lvlJc w:val="left"/>
      <w:pPr>
        <w:ind w:left="2880" w:hanging="360"/>
      </w:pPr>
      <w:rPr>
        <w:rFonts w:ascii="Symbol" w:hAnsi="Symbol" w:hint="default"/>
      </w:rPr>
    </w:lvl>
    <w:lvl w:ilvl="4" w:tplc="B1082BFA" w:tentative="1">
      <w:start w:val="1"/>
      <w:numFmt w:val="bullet"/>
      <w:lvlText w:val="o"/>
      <w:lvlJc w:val="left"/>
      <w:pPr>
        <w:ind w:left="3600" w:hanging="360"/>
      </w:pPr>
      <w:rPr>
        <w:rFonts w:ascii="Courier New" w:hAnsi="Courier New" w:cs="Courier New" w:hint="default"/>
      </w:rPr>
    </w:lvl>
    <w:lvl w:ilvl="5" w:tplc="83920AB6" w:tentative="1">
      <w:start w:val="1"/>
      <w:numFmt w:val="bullet"/>
      <w:lvlText w:val=""/>
      <w:lvlJc w:val="left"/>
      <w:pPr>
        <w:ind w:left="4320" w:hanging="360"/>
      </w:pPr>
      <w:rPr>
        <w:rFonts w:ascii="Wingdings" w:hAnsi="Wingdings" w:hint="default"/>
      </w:rPr>
    </w:lvl>
    <w:lvl w:ilvl="6" w:tplc="58F65FB0" w:tentative="1">
      <w:start w:val="1"/>
      <w:numFmt w:val="bullet"/>
      <w:lvlText w:val=""/>
      <w:lvlJc w:val="left"/>
      <w:pPr>
        <w:ind w:left="5040" w:hanging="360"/>
      </w:pPr>
      <w:rPr>
        <w:rFonts w:ascii="Symbol" w:hAnsi="Symbol" w:hint="default"/>
      </w:rPr>
    </w:lvl>
    <w:lvl w:ilvl="7" w:tplc="75D2893C" w:tentative="1">
      <w:start w:val="1"/>
      <w:numFmt w:val="bullet"/>
      <w:lvlText w:val="o"/>
      <w:lvlJc w:val="left"/>
      <w:pPr>
        <w:ind w:left="5760" w:hanging="360"/>
      </w:pPr>
      <w:rPr>
        <w:rFonts w:ascii="Courier New" w:hAnsi="Courier New" w:cs="Courier New" w:hint="default"/>
      </w:rPr>
    </w:lvl>
    <w:lvl w:ilvl="8" w:tplc="2C66D214" w:tentative="1">
      <w:start w:val="1"/>
      <w:numFmt w:val="bullet"/>
      <w:lvlText w:val=""/>
      <w:lvlJc w:val="left"/>
      <w:pPr>
        <w:ind w:left="6480" w:hanging="360"/>
      </w:pPr>
      <w:rPr>
        <w:rFonts w:ascii="Wingdings" w:hAnsi="Wingdings" w:hint="default"/>
      </w:rPr>
    </w:lvl>
  </w:abstractNum>
  <w:abstractNum w:abstractNumId="6"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4A"/>
    <w:rsid w:val="00CE7B4A"/>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DDA8"/>
  <w15:chartTrackingRefBased/>
  <w15:docId w15:val="{3B45B1CA-748C-40E4-A584-8D978BB7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B4A"/>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B4A"/>
    <w:rPr>
      <w:color w:val="0000FF"/>
      <w:u w:val="single"/>
    </w:rPr>
  </w:style>
  <w:style w:type="paragraph" w:styleId="ListParagraph">
    <w:name w:val="List Paragraph"/>
    <w:basedOn w:val="Normal"/>
    <w:uiPriority w:val="34"/>
    <w:qFormat/>
    <w:rsid w:val="00CE7B4A"/>
    <w:pPr>
      <w:ind w:left="720"/>
    </w:pPr>
  </w:style>
  <w:style w:type="paragraph" w:styleId="BodyText">
    <w:name w:val="Body Text"/>
    <w:basedOn w:val="Normal"/>
    <w:link w:val="BodyTextChar"/>
    <w:rsid w:val="00CE7B4A"/>
    <w:rPr>
      <w:szCs w:val="20"/>
    </w:rPr>
  </w:style>
  <w:style w:type="character" w:customStyle="1" w:styleId="BodyTextChar">
    <w:name w:val="Body Text Char"/>
    <w:basedOn w:val="DefaultParagraphFont"/>
    <w:link w:val="BodyText"/>
    <w:rsid w:val="00CE7B4A"/>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4B846-3905-42F2-B52C-9A275B8F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8948E-6C55-4F2C-BB9F-134F7347CE1D}">
  <ds:schemaRefs>
    <ds:schemaRef ds:uri="http://schemas.microsoft.com/sharepoint/v3/contenttype/forms"/>
  </ds:schemaRefs>
</ds:datastoreItem>
</file>

<file path=customXml/itemProps3.xml><?xml version="1.0" encoding="utf-8"?>
<ds:datastoreItem xmlns:ds="http://schemas.openxmlformats.org/officeDocument/2006/customXml" ds:itemID="{31E546D8-3499-4D2F-8203-9E6E9BF005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5edf312-0edb-4ee3-8a94-8400969bfde8"/>
    <ds:schemaRef ds:uri="http://purl.org/dc/terms/"/>
    <ds:schemaRef ds:uri="http://schemas.openxmlformats.org/package/2006/metadata/core-properties"/>
    <ds:schemaRef ds:uri="287e46d0-2f40-449c-950b-04ad6bc4d8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2341</Words>
  <Characters>12784</Characters>
  <Application>Microsoft Office Word</Application>
  <DocSecurity>0</DocSecurity>
  <Lines>297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2020-12-11T16:06:00Z</dcterms:created>
  <dcterms:modified xsi:type="dcterms:W3CDTF">2020-12-11T16:08:00Z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